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33B5B">
      <w:pPr>
        <w:jc w:val="lowKashida"/>
        <w:rPr>
          <w:rtl/>
        </w:rPr>
      </w:pPr>
      <w:bookmarkStart w:id="0" w:name="_GoBack"/>
      <w:bookmarkEnd w:id="0"/>
      <w:r>
        <w:rPr>
          <w:rtl/>
        </w:rPr>
        <w:t xml:space="preserve">     </w:t>
      </w:r>
    </w:p>
    <w:p w:rsidR="00000000" w:rsidRDefault="00F33B5B">
      <w:pPr>
        <w:jc w:val="lowKashida"/>
        <w:rPr>
          <w:rtl/>
        </w:rPr>
      </w:pPr>
    </w:p>
    <w:p w:rsidR="00000000" w:rsidRDefault="00F33B5B">
      <w:pPr>
        <w:jc w:val="lowKashida"/>
        <w:rPr>
          <w:rtl/>
        </w:rPr>
      </w:pPr>
      <w:r>
        <w:rPr>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34.9pt;margin-top:10.2pt;width:333.7pt;height:163.3pt;z-index:1;mso-position-horizontal:absolute;mso-position-horizontal-relative:page;mso-position-vertical:absolute;mso-position-vertical-relative:text" o:allowincell="f" fillcolor="black">
            <v:shadow color="#868686"/>
            <v:textpath style="font-family:&quot;Tahoma&quot;;v-text-kern:t" trim="t" fitpath="t" string="الخطأ : &quot;لا إنكار في مسائل الخلاف&quot;&#10;&#10;الصواب : &quot;لا إنكار في مسائل الاجتهاد&quot;"/>
            <w10:wrap anchorx="page"/>
          </v:shape>
        </w:pict>
      </w:r>
    </w:p>
    <w:p w:rsidR="00000000" w:rsidRDefault="00F33B5B">
      <w:pPr>
        <w:jc w:val="lowKashida"/>
        <w:rPr>
          <w:rtl/>
        </w:rPr>
      </w:pPr>
    </w:p>
    <w:p w:rsidR="00000000" w:rsidRDefault="00F33B5B">
      <w:pPr>
        <w:jc w:val="lowKashida"/>
        <w:rPr>
          <w:rtl/>
        </w:rPr>
      </w:pPr>
    </w:p>
    <w:p w:rsidR="00000000" w:rsidRDefault="00F33B5B">
      <w:pPr>
        <w:jc w:val="lowKashida"/>
        <w:rPr>
          <w:rtl/>
        </w:rPr>
      </w:pPr>
    </w:p>
    <w:p w:rsidR="00000000" w:rsidRDefault="00F33B5B">
      <w:pPr>
        <w:jc w:val="lowKashida"/>
        <w:rPr>
          <w:rtl/>
        </w:rPr>
      </w:pPr>
    </w:p>
    <w:p w:rsidR="00000000" w:rsidRDefault="00F33B5B">
      <w:pPr>
        <w:jc w:val="lowKashida"/>
        <w:rPr>
          <w:rtl/>
        </w:rPr>
      </w:pPr>
    </w:p>
    <w:p w:rsidR="00000000" w:rsidRDefault="00F33B5B">
      <w:pPr>
        <w:jc w:val="lowKashida"/>
        <w:rPr>
          <w:rtl/>
        </w:rPr>
      </w:pPr>
    </w:p>
    <w:p w:rsidR="00000000" w:rsidRDefault="00F33B5B">
      <w:pPr>
        <w:jc w:val="lowKashida"/>
        <w:rPr>
          <w:rtl/>
        </w:rPr>
      </w:pPr>
    </w:p>
    <w:p w:rsidR="00000000" w:rsidRDefault="00F33B5B">
      <w:pPr>
        <w:jc w:val="lowKashida"/>
        <w:rPr>
          <w:rtl/>
        </w:rPr>
      </w:pPr>
    </w:p>
    <w:p w:rsidR="00000000" w:rsidRDefault="00F33B5B">
      <w:pPr>
        <w:jc w:val="lowKashida"/>
        <w:rPr>
          <w:rtl/>
        </w:rPr>
      </w:pPr>
    </w:p>
    <w:p w:rsidR="00000000" w:rsidRDefault="00F33B5B">
      <w:pPr>
        <w:jc w:val="center"/>
        <w:rPr>
          <w:rtl/>
        </w:rPr>
      </w:pPr>
    </w:p>
    <w:p w:rsidR="00000000" w:rsidRDefault="00F33B5B">
      <w:pPr>
        <w:jc w:val="center"/>
        <w:rPr>
          <w:rtl/>
        </w:rPr>
      </w:pPr>
    </w:p>
    <w:p w:rsidR="00000000" w:rsidRDefault="00F33B5B">
      <w:pPr>
        <w:jc w:val="center"/>
        <w:rPr>
          <w:rtl/>
        </w:rPr>
      </w:pPr>
    </w:p>
    <w:p w:rsidR="00000000" w:rsidRDefault="00F33B5B">
      <w:pPr>
        <w:jc w:val="center"/>
        <w:rPr>
          <w:b/>
          <w:bCs/>
          <w:rtl/>
        </w:rPr>
      </w:pPr>
      <w:r>
        <w:rPr>
          <w:b/>
          <w:bCs/>
          <w:rtl/>
        </w:rPr>
        <w:t xml:space="preserve">إعداد </w:t>
      </w:r>
    </w:p>
    <w:p w:rsidR="00000000" w:rsidRDefault="00F33B5B">
      <w:pPr>
        <w:jc w:val="center"/>
        <w:rPr>
          <w:b/>
          <w:bCs/>
          <w:rtl/>
        </w:rPr>
      </w:pPr>
      <w:r>
        <w:rPr>
          <w:b/>
          <w:bCs/>
          <w:rtl/>
        </w:rPr>
        <w:t xml:space="preserve">سليمان بن صالح الخراشي </w:t>
      </w:r>
    </w:p>
    <w:p w:rsidR="00000000" w:rsidRDefault="00F33B5B">
      <w:pPr>
        <w:jc w:val="center"/>
        <w:rPr>
          <w:rtl/>
        </w:rPr>
      </w:pPr>
    </w:p>
    <w:p w:rsidR="00000000" w:rsidRDefault="00F33B5B">
      <w:pPr>
        <w:jc w:val="center"/>
        <w:rPr>
          <w:rtl/>
        </w:rPr>
      </w:pPr>
      <w:r>
        <w:rPr>
          <w:rtl/>
        </w:rPr>
        <w:t>1424هـ</w:t>
      </w:r>
    </w:p>
    <w:p w:rsidR="00000000" w:rsidRDefault="00F33B5B">
      <w:pPr>
        <w:jc w:val="lowKashida"/>
        <w:rPr>
          <w:rtl/>
        </w:rPr>
      </w:pPr>
    </w:p>
    <w:p w:rsidR="00000000" w:rsidRDefault="00F33B5B">
      <w:pPr>
        <w:jc w:val="lowKashida"/>
        <w:rPr>
          <w:rtl/>
        </w:rPr>
      </w:pPr>
    </w:p>
    <w:p w:rsidR="00000000" w:rsidRDefault="00F33B5B">
      <w:pPr>
        <w:jc w:val="lowKashida"/>
        <w:rPr>
          <w:rtl/>
        </w:rPr>
      </w:pPr>
    </w:p>
    <w:p w:rsidR="00000000" w:rsidRDefault="00F33B5B">
      <w:pPr>
        <w:jc w:val="lowKashida"/>
        <w:rPr>
          <w:rtl/>
        </w:rPr>
      </w:pPr>
    </w:p>
    <w:p w:rsidR="00000000" w:rsidRDefault="00F33B5B">
      <w:pPr>
        <w:pStyle w:val="BodyTextIndent"/>
        <w:rPr>
          <w:rtl/>
        </w:rPr>
      </w:pPr>
      <w:r>
        <w:rPr>
          <w:rtl/>
        </w:rPr>
        <w:lastRenderedPageBreak/>
        <w:t xml:space="preserve">الحمد لله رب العالمين، والصلاة والسلام على أشرف الأنبياء والمرسلين، نبينا محمد وعلى آله وصحبه أجمعين: </w:t>
      </w:r>
    </w:p>
    <w:p w:rsidR="00000000" w:rsidRDefault="00F33B5B">
      <w:pPr>
        <w:ind w:firstLine="720"/>
        <w:jc w:val="lowKashida"/>
        <w:rPr>
          <w:rtl/>
        </w:rPr>
      </w:pPr>
      <w:r>
        <w:rPr>
          <w:rtl/>
        </w:rPr>
        <w:t>كثيرًا ما نسمع أو نقرأ عند الاختلاف في المسائل الشرعية قول بعضهم: "لا إنكار في مسائل الخل</w:t>
      </w:r>
      <w:r>
        <w:rPr>
          <w:rtl/>
        </w:rPr>
        <w:t xml:space="preserve">اف"؛ يريد بذلك أن كل مسألة وُجد فيها خلاف بين العلماء فإنه لا يحق لأحد أن ينكر على من خالفه فيها أو يحمله على رأيه. </w:t>
      </w:r>
    </w:p>
    <w:p w:rsidR="00000000" w:rsidRDefault="00F33B5B">
      <w:pPr>
        <w:ind w:firstLine="720"/>
        <w:jc w:val="lowKashida"/>
        <w:rPr>
          <w:rtl/>
        </w:rPr>
      </w:pPr>
      <w:r>
        <w:rPr>
          <w:rtl/>
        </w:rPr>
        <w:t xml:space="preserve">وقد بين العلماء المحققون أن هذه المقولة: "لا إنكار في مسائل الخلاف" غير سليمة، وأن مسائل الخلاف تنقسم قسمين: </w:t>
      </w:r>
    </w:p>
    <w:p w:rsidR="00000000" w:rsidRDefault="00F33B5B">
      <w:pPr>
        <w:numPr>
          <w:ilvl w:val="0"/>
          <w:numId w:val="1"/>
        </w:numPr>
        <w:jc w:val="lowKashida"/>
        <w:rPr>
          <w:rtl/>
        </w:rPr>
      </w:pPr>
      <w:r>
        <w:rPr>
          <w:rtl/>
        </w:rPr>
        <w:t>المسائل الخلافية التي ثبت فيه</w:t>
      </w:r>
      <w:r>
        <w:rPr>
          <w:rtl/>
        </w:rPr>
        <w:t xml:space="preserve">ا نص أو نصوص من الكتاب والسنة تدل على صحة أحد الأقوال، فالواجب حينئذٍ اتباع النص والإنكار على المخالف. مع عذر من أخطأ فيها من المجتهدين . </w:t>
      </w:r>
    </w:p>
    <w:p w:rsidR="00000000" w:rsidRDefault="00F33B5B">
      <w:pPr>
        <w:numPr>
          <w:ilvl w:val="0"/>
          <w:numId w:val="1"/>
        </w:numPr>
        <w:jc w:val="lowKashida"/>
        <w:rPr>
          <w:rtl/>
        </w:rPr>
      </w:pPr>
      <w:r>
        <w:rPr>
          <w:rtl/>
        </w:rPr>
        <w:t>المسائل الخلافية التي لم يثبت فيها نص، فهذه تسمى "المسائل الاجتهادية"؛ لأن كل واحد من العلماء المختلفين قد عمل أو أفت</w:t>
      </w:r>
      <w:r>
        <w:rPr>
          <w:rtl/>
        </w:rPr>
        <w:t>ى بما أداه إليه اجتهاده، وهذه المسائل لا إنكار فيها، ولا ينبغي لواحد من المختلفين أن يحمل الآخر على قوله؛ لأن كل واحد منهم لم يخالف نصًا، بل خالف اجتهاد مجتهد.</w:t>
      </w:r>
    </w:p>
    <w:p w:rsidR="00000000" w:rsidRDefault="00F33B5B">
      <w:pPr>
        <w:jc w:val="lowKashida"/>
        <w:rPr>
          <w:rtl/>
        </w:rPr>
      </w:pPr>
    </w:p>
    <w:p w:rsidR="00000000" w:rsidRDefault="00F33B5B">
      <w:pPr>
        <w:jc w:val="lowKashida"/>
        <w:rPr>
          <w:b/>
          <w:bCs/>
          <w:sz w:val="32"/>
          <w:szCs w:val="44"/>
          <w:rtl/>
        </w:rPr>
      </w:pPr>
      <w:r>
        <w:rPr>
          <w:b/>
          <w:bCs/>
          <w:sz w:val="32"/>
          <w:szCs w:val="44"/>
          <w:rtl/>
        </w:rPr>
        <w:t>أقوال العلماء المحققين:</w:t>
      </w:r>
    </w:p>
    <w:p w:rsidR="00000000" w:rsidRDefault="00F33B5B">
      <w:pPr>
        <w:ind w:firstLine="720"/>
        <w:jc w:val="lowKashida"/>
        <w:rPr>
          <w:b/>
          <w:bCs/>
          <w:rtl/>
        </w:rPr>
      </w:pPr>
      <w:r>
        <w:rPr>
          <w:b/>
          <w:bCs/>
          <w:rtl/>
        </w:rPr>
        <w:t>1-قال شيخ الإسلام ابن تيمية –رحمه الله-:</w:t>
      </w:r>
    </w:p>
    <w:p w:rsidR="00000000" w:rsidRDefault="00F33B5B">
      <w:pPr>
        <w:ind w:firstLine="720"/>
        <w:jc w:val="lowKashida"/>
        <w:rPr>
          <w:rtl/>
        </w:rPr>
      </w:pPr>
      <w:r>
        <w:rPr>
          <w:rtl/>
        </w:rPr>
        <w:t xml:space="preserve">"وقولهم مسائل الخلاف لا إنكار </w:t>
      </w:r>
      <w:r>
        <w:rPr>
          <w:rtl/>
        </w:rPr>
        <w:t xml:space="preserve">فيها ليس بصحيح فإن الإنكار إما أن يتوجه إلى القول بالحكم أو العمل. أمّا الأول فإذا كان القول يخالف سنة أو إجماعاً قديماً وجب إنكاره وفاقاً. وإن لم يكن كذلك فإنه يُنكر بمعنى بيان ضعفه عند من يقول المصيب واحد وهم عامة السلف والفقهاء. </w:t>
      </w:r>
    </w:p>
    <w:p w:rsidR="00000000" w:rsidRDefault="00F33B5B">
      <w:pPr>
        <w:ind w:firstLine="720"/>
        <w:jc w:val="lowKashida"/>
        <w:rPr>
          <w:rtl/>
        </w:rPr>
      </w:pPr>
      <w:r>
        <w:rPr>
          <w:rtl/>
        </w:rPr>
        <w:lastRenderedPageBreak/>
        <w:t>وأما العمل فإذا كان على</w:t>
      </w:r>
      <w:r>
        <w:rPr>
          <w:rtl/>
        </w:rPr>
        <w:t xml:space="preserve"> خلاف سنة أو إجماع وجب إنكاره أيضاً بحسب درجات الإنكار. </w:t>
      </w:r>
    </w:p>
    <w:p w:rsidR="00000000" w:rsidRDefault="00F33B5B">
      <w:pPr>
        <w:ind w:firstLine="720"/>
        <w:jc w:val="lowKashida"/>
        <w:rPr>
          <w:rtl/>
        </w:rPr>
      </w:pPr>
      <w:r>
        <w:rPr>
          <w:rtl/>
        </w:rPr>
        <w:t xml:space="preserve">أما إذا لم يكن في المسألة سنة ولا إجماع وللاجتهاد فيها مساغ لم ينكر على من عمل بها مجتهداً أو مقلداً. </w:t>
      </w:r>
    </w:p>
    <w:p w:rsidR="00000000" w:rsidRDefault="00F33B5B">
      <w:pPr>
        <w:ind w:firstLine="720"/>
        <w:jc w:val="lowKashida"/>
        <w:rPr>
          <w:rtl/>
        </w:rPr>
      </w:pPr>
      <w:r>
        <w:rPr>
          <w:rtl/>
        </w:rPr>
        <w:t>وإنما دخل هذا اللبس من جهة أن القائل يعتقد أن مسائل الخلاف هي مسائل الاجتهاد، كما اعتقد ذلك طوائ</w:t>
      </w:r>
      <w:r>
        <w:rPr>
          <w:rtl/>
        </w:rPr>
        <w:t>ف من الناس. والصواب الذي عليه الأئمة أن مسائل الاجتهاد ما لم يكن فيها دليل يجب العمل به وجوباً ظاهراً مثل حديث صحيح لا معارض له من جنسه فيسوغ إذا عدم ذلك فيها الاجتهاد لتعارض الأدلة المتقاربة أو لخفاء الأدلة فيها"</w:t>
      </w:r>
      <w:r>
        <w:rPr>
          <w:vertAlign w:val="superscript"/>
          <w:rtl/>
        </w:rPr>
        <w:t>(</w:t>
      </w:r>
      <w:r>
        <w:rPr>
          <w:rStyle w:val="FootnoteReference"/>
          <w:rtl/>
        </w:rPr>
        <w:footnoteReference w:id="1"/>
      </w:r>
      <w:r>
        <w:rPr>
          <w:vertAlign w:val="superscript"/>
          <w:rtl/>
        </w:rPr>
        <w:t>)</w:t>
      </w:r>
      <w:r>
        <w:rPr>
          <w:rtl/>
        </w:rPr>
        <w:t xml:space="preserve">. </w:t>
      </w:r>
    </w:p>
    <w:p w:rsidR="00000000" w:rsidRDefault="00F33B5B">
      <w:pPr>
        <w:ind w:firstLine="720"/>
        <w:jc w:val="lowKashida"/>
        <w:rPr>
          <w:rtl/>
        </w:rPr>
      </w:pPr>
      <w:r>
        <w:rPr>
          <w:b/>
          <w:bCs/>
          <w:rtl/>
        </w:rPr>
        <w:t>2-وقال ابن القيم –رحمه الله-</w:t>
      </w:r>
      <w:r>
        <w:rPr>
          <w:rtl/>
        </w:rPr>
        <w:t>: "وقولهم</w:t>
      </w:r>
      <w:r>
        <w:rPr>
          <w:rtl/>
        </w:rPr>
        <w:t xml:space="preserve"> "إن مسائل الخلاف لا إنكار فيها" ليس بصحيح؛ فإن الإنكار إما أن يتوجه إلى القول والفتوى أو العمل، أما الأول فإذا كان القول يخالف سنة أو إجماعاً شائعاً وجب إنكاره اتفاقاً، وإن لم يكن كذلك فإن بيان ضعفه ومخالفته للدليل إنكار مثله، وأما العمل فإذا كان على خلاف</w:t>
      </w:r>
      <w:r>
        <w:rPr>
          <w:rtl/>
        </w:rPr>
        <w:t xml:space="preserve"> سنة أو إجماع وجب إنكاره بحسب درجات الإنكار، وكيف يقول فقيه لا إنكار في المسائل المختلف فيها والفقهاء من سائر الطوائف قد صرحوا بنقض حكم الحاكم إذا خالف كتاباً أو سنة وإن كان قد وافق فيه بعض العلماء؟ وأما إذا لم يكن في المسألة سنة ولا إجماع وللاجتهاد فيها م</w:t>
      </w:r>
      <w:r>
        <w:rPr>
          <w:rtl/>
        </w:rPr>
        <w:t xml:space="preserve">َسَاغ لم تنكر على مَنْ عمل بها مجتهداً أو مقلداً. </w:t>
      </w:r>
    </w:p>
    <w:p w:rsidR="00000000" w:rsidRDefault="00F33B5B">
      <w:pPr>
        <w:ind w:firstLine="720"/>
        <w:jc w:val="lowKashida"/>
        <w:rPr>
          <w:rtl/>
        </w:rPr>
      </w:pPr>
      <w:r>
        <w:rPr>
          <w:rtl/>
        </w:rPr>
        <w:t xml:space="preserve">وإنما دخل هذا اللبس من جهة أن القائل يعتقد أن مسائل الخلاف هي مسائل الاجتهاد، كما اعتقد ذلك طوائف من الناس ممن ليس لهم تحقيق في العلم. </w:t>
      </w:r>
    </w:p>
    <w:p w:rsidR="00000000" w:rsidRDefault="00F33B5B">
      <w:pPr>
        <w:ind w:firstLine="720"/>
        <w:jc w:val="lowKashida"/>
        <w:rPr>
          <w:rtl/>
        </w:rPr>
      </w:pPr>
      <w:r>
        <w:rPr>
          <w:rtl/>
        </w:rPr>
        <w:lastRenderedPageBreak/>
        <w:t>والصواب ما عليه الأئمة أن مسائل الاجتهاد ما لم يكن فيها دليل يجب العم</w:t>
      </w:r>
      <w:r>
        <w:rPr>
          <w:rtl/>
        </w:rPr>
        <w:t>ل به وجوباً ظاهراً مثل حديث صحيح لا معارض له من جنسه فيسوغ فيها –إذا عدم فيها الدليل الظاهر الذي يجب العمل به- الاجتهاد لتعارض الأدلة أو لخفاء الأدلة فيها، وليس في قول العالم "إن هذه المسألة قطعية أو يقينية، ولا يسوغ فيها الاجتهاد" طَعْنٌ على من خالفها، ول</w:t>
      </w:r>
      <w:r>
        <w:rPr>
          <w:rtl/>
        </w:rPr>
        <w:t>ا نسبة له إلى تعمد خلاف الصواب، والمسائل التي اختلف فيها السلف والخلف وقد تيقنا صحة أحد القولين فيها كثير، مثل كون الحامل تعتد بوضع الحمل، وأن إصابة الزوج الثاني شرط في حلها للأول، وأن الغسل يجب بمجرد الإيلاج وإن لم ينـزل، وأن ربا الفضل حرام، وأن المتعة حر</w:t>
      </w:r>
      <w:r>
        <w:rPr>
          <w:rtl/>
        </w:rPr>
        <w:t>ام، وأن النبيذ المسكر حرام، وأن المسلم لا يُقتل بكافر، وأن المسح على الخفين جائز حضراً وسفرا، وأن السنة في الركوع وضع اليدين على الركبتين دون التطبيق، وأن رفع اليدين عند الركوع والرفع منه سنة، وأن الشفعة ثابتة في الأرض والعقار، وأن الوقف صحيح لازم، وأن دية</w:t>
      </w:r>
      <w:r>
        <w:rPr>
          <w:rtl/>
        </w:rPr>
        <w:t xml:space="preserve"> الأصابع سواء، وأن يد السارق تقطع في ثلاثة دراهم، وأن الخاتم من حديد يجوز أن يكون صَدَاقاً، وأن التيمم إلى الكوعين بضربة واحدة جائز، وأن صيام الولي عن الميت يجزئ عنه، وأن الحاج يلبي حتى يرمي جمرة العقبة، وأن المحرم له استدامة الطيب دون ابتدائه، وأن السنة أ</w:t>
      </w:r>
      <w:r>
        <w:rPr>
          <w:rtl/>
        </w:rPr>
        <w:t xml:space="preserve">ن يسلم في الصلاة عن يمينه وعن يساره: السلام عليكم ورحمة الله، السلام عليكم ورحمة الله، وأن خيار المجلس ثابت في البيع، وأن المصَرْاة يرد معها عوض اللبن صاعاً من تمر، وأن صلاة الكسوف بركوعين في كل ركعة، وأن القضاء جائز بشاهد وبمين، إلى أضعاف ذلك من المسائل، </w:t>
      </w:r>
      <w:r>
        <w:rPr>
          <w:rtl/>
        </w:rPr>
        <w:t xml:space="preserve">ولهذا صرح الأئمة بنقض حكم مَنْ حكم بخلاف كثير من هذه المسائل، من غير طعن منهم على من قال بها. </w:t>
      </w:r>
    </w:p>
    <w:p w:rsidR="00000000" w:rsidRDefault="00F33B5B">
      <w:pPr>
        <w:ind w:firstLine="720"/>
        <w:jc w:val="lowKashida"/>
        <w:rPr>
          <w:rtl/>
        </w:rPr>
      </w:pPr>
      <w:r>
        <w:rPr>
          <w:rtl/>
        </w:rPr>
        <w:lastRenderedPageBreak/>
        <w:t>وعلى كل حال فلا عذر عند الله يوم القيامة لمن بلغه ما في المسألة من هذا الباب وغيره من الأحاديث والآثار التي لا معارض لها إذا نَبَذَها وراء ظهره"</w:t>
      </w:r>
      <w:r>
        <w:rPr>
          <w:vertAlign w:val="superscript"/>
          <w:rtl/>
        </w:rPr>
        <w:t>(</w:t>
      </w:r>
      <w:r>
        <w:rPr>
          <w:rStyle w:val="FootnoteReference"/>
          <w:rtl/>
        </w:rPr>
        <w:footnoteReference w:id="2"/>
      </w:r>
      <w:r>
        <w:rPr>
          <w:vertAlign w:val="superscript"/>
          <w:rtl/>
        </w:rPr>
        <w:t>)</w:t>
      </w:r>
      <w:r>
        <w:rPr>
          <w:rtl/>
        </w:rPr>
        <w:t xml:space="preserve"> </w:t>
      </w:r>
    </w:p>
    <w:p w:rsidR="00000000" w:rsidRDefault="00F33B5B">
      <w:pPr>
        <w:ind w:firstLine="720"/>
        <w:jc w:val="lowKashida"/>
        <w:rPr>
          <w:rtl/>
        </w:rPr>
      </w:pPr>
      <w:r>
        <w:rPr>
          <w:b/>
          <w:bCs/>
          <w:rtl/>
        </w:rPr>
        <w:t>3-وقال الشيخ</w:t>
      </w:r>
      <w:r>
        <w:rPr>
          <w:b/>
          <w:bCs/>
          <w:rtl/>
        </w:rPr>
        <w:t xml:space="preserve"> محمد بن عبد الوهاب</w:t>
      </w:r>
      <w:r>
        <w:rPr>
          <w:rtl/>
        </w:rPr>
        <w:t xml:space="preserve">: "فإن أراد القائل مسائل الخلاف فهذا باطل يخالف إجماع الأمة، فما زال الصحابة ومن بعدهم ينكرون على من خالف وأخطأ كائناً من كان ولو كان أعلم الناس وأتقاهم، وإذا كان الله بعث محمداً بالهدى ودين الحق، وأمرنا باتباعه، وترك ما خالفه؛ فمن تمام </w:t>
      </w:r>
      <w:r>
        <w:rPr>
          <w:rtl/>
        </w:rPr>
        <w:t xml:space="preserve">ذلك أن من خالفه من العلماء مخطئ ينبه على خطئه وينكر عليه، وإن أريد بمسائل الاجتهاد: مسائل الخلاف التي لم يتبين فيها الصواب فهذا كلام صحيح، ولا يجوز للإنسان أن ينكر الشيء لكونه مخالفاً لمذهبه أو لعادة الناس، فكما لا يجوز للإنسان أن يأمر إلا بعلم لا يجوز أن </w:t>
      </w:r>
      <w:r>
        <w:rPr>
          <w:rtl/>
        </w:rPr>
        <w:t>ينكر إلا بعلم وهذا كله داخل في قوله (</w:t>
      </w:r>
      <w:r>
        <w:rPr>
          <w:b/>
          <w:bCs/>
          <w:rtl/>
        </w:rPr>
        <w:t>ولا تقف ما ليس لك به علم)</w:t>
      </w:r>
      <w:r>
        <w:rPr>
          <w:vertAlign w:val="superscript"/>
          <w:rtl/>
        </w:rPr>
        <w:t xml:space="preserve"> (</w:t>
      </w:r>
      <w:r>
        <w:rPr>
          <w:rStyle w:val="FootnoteReference"/>
          <w:rtl/>
        </w:rPr>
        <w:footnoteReference w:id="3"/>
      </w:r>
      <w:r>
        <w:rPr>
          <w:vertAlign w:val="superscript"/>
          <w:rtl/>
        </w:rPr>
        <w:t>)</w:t>
      </w:r>
      <w:r>
        <w:rPr>
          <w:rtl/>
        </w:rPr>
        <w:t>.</w:t>
      </w:r>
    </w:p>
    <w:p w:rsidR="00000000" w:rsidRDefault="00F33B5B">
      <w:pPr>
        <w:ind w:firstLine="720"/>
        <w:jc w:val="lowKashida"/>
        <w:rPr>
          <w:b/>
          <w:bCs/>
          <w:rtl/>
        </w:rPr>
      </w:pPr>
      <w:r>
        <w:rPr>
          <w:b/>
          <w:bCs/>
          <w:rtl/>
        </w:rPr>
        <w:t>4-وقال الشوكاني:</w:t>
      </w:r>
    </w:p>
    <w:p w:rsidR="00000000" w:rsidRDefault="00F33B5B">
      <w:pPr>
        <w:ind w:firstLine="720"/>
        <w:jc w:val="lowKashida"/>
        <w:rPr>
          <w:rtl/>
        </w:rPr>
      </w:pPr>
      <w:r>
        <w:rPr>
          <w:rtl/>
        </w:rPr>
        <w:t>"هذه المقالة –أي لا إنكار في مسائل الخلاف- قد صارت أعظم ذريعة إلى سدّ باب الأمر بالمعروف والنهي عن المنكر، وهما بالمثابة التي عرفناك، والمنـزلة التي بيّناها لك، وقد وجب بإ</w:t>
      </w:r>
      <w:r>
        <w:rPr>
          <w:rtl/>
        </w:rPr>
        <w:t>يجاب الله عز وجل، وبإيجاب رسوله صلى الله عليه وسلم على هذه الأمة، الأمر بما هو معروف من معروفات الشرع، والنهي عما هو منكر من منكراته: ومعيار ذلك الكتاب والسنة، فعلى كل مسلم أن يأمر بما وجده فيهما أو في أحدهما معروفاً، وينهى عما هو فيهما أو في أحدهما منكراً</w:t>
      </w:r>
      <w:r>
        <w:rPr>
          <w:rtl/>
        </w:rPr>
        <w:t xml:space="preserve">. </w:t>
      </w:r>
    </w:p>
    <w:p w:rsidR="00000000" w:rsidRDefault="00F33B5B">
      <w:pPr>
        <w:ind w:firstLine="720"/>
        <w:jc w:val="lowKashida"/>
        <w:rPr>
          <w:rtl/>
        </w:rPr>
      </w:pPr>
      <w:r>
        <w:rPr>
          <w:rtl/>
        </w:rPr>
        <w:t xml:space="preserve">وإن قال قائل من أهل العلم بما يخالف ذلك، فقوله منكر يجب إنكاره عليه أولاً، ثم على العامل به ثانياً. </w:t>
      </w:r>
    </w:p>
    <w:p w:rsidR="00000000" w:rsidRDefault="00F33B5B">
      <w:pPr>
        <w:ind w:firstLine="720"/>
        <w:jc w:val="lowKashida"/>
        <w:rPr>
          <w:rtl/>
        </w:rPr>
      </w:pPr>
      <w:r>
        <w:rPr>
          <w:rtl/>
        </w:rPr>
        <w:lastRenderedPageBreak/>
        <w:t>وهذه الشريعة الشريفة التي أُمِرْنا بالأمر بمعروفها، والنهي عن منكرها، هي هذه الموجودة في الكتاب والسنة"</w:t>
      </w:r>
      <w:r>
        <w:rPr>
          <w:vertAlign w:val="superscript"/>
          <w:rtl/>
        </w:rPr>
        <w:t>(</w:t>
      </w:r>
      <w:r>
        <w:rPr>
          <w:rStyle w:val="FootnoteReference"/>
          <w:rtl/>
        </w:rPr>
        <w:footnoteReference w:id="4"/>
      </w:r>
      <w:r>
        <w:rPr>
          <w:vertAlign w:val="superscript"/>
          <w:rtl/>
        </w:rPr>
        <w:t>)</w:t>
      </w:r>
      <w:r>
        <w:rPr>
          <w:rtl/>
        </w:rPr>
        <w:t xml:space="preserve">. </w:t>
      </w:r>
    </w:p>
    <w:p w:rsidR="00000000" w:rsidRDefault="00F33B5B">
      <w:pPr>
        <w:ind w:firstLine="720"/>
        <w:jc w:val="lowKashida"/>
        <w:rPr>
          <w:rtl/>
        </w:rPr>
      </w:pPr>
      <w:r>
        <w:rPr>
          <w:b/>
          <w:bCs/>
          <w:rtl/>
        </w:rPr>
        <w:t>5-وقال الشيخ ابن عثيمين –رحمه الله-</w:t>
      </w:r>
      <w:r>
        <w:rPr>
          <w:rtl/>
        </w:rPr>
        <w:t xml:space="preserve"> ردًا عل</w:t>
      </w:r>
      <w:r>
        <w:rPr>
          <w:rtl/>
        </w:rPr>
        <w:t>ى من قال: "المسائل الخلافية لا إنكار فيها"؟: "لو أننا قلنا المسائل الخلافية لا ينكر فيها على الإطلاق، ذهب الدين كله حين تتبع الرخص؛ لأنك لا تكاد تجد مسألة إلا وفيها خلاف بين الناس. نضرب مثلاً: هذا رجلٌ مسَّ امرأة لشهوة، وأكل لحم إبل، ثم قام ليصلي، فقال: أن</w:t>
      </w:r>
      <w:r>
        <w:rPr>
          <w:rtl/>
        </w:rPr>
        <w:t>ا أتبع الإمام أحمد في أن مسَّ المرأة لا ينقض الوضوء، وأتبع الشافعي في أن لحم الإبل لا ينقض الوضوء، وسأصلي على هذه الحال، فهل صلاته الآن صحيحة على المذهبين؟ هي غير صحيحة؛ لأنها إن لم تبطل على مذهب الإمام أحمد بن حنبل بطلت على مذهب الشافعي، وإن لم تبطل على م</w:t>
      </w:r>
      <w:r>
        <w:rPr>
          <w:rtl/>
        </w:rPr>
        <w:t xml:space="preserve">ذهب الإمام الشافعي، بطلت على مذهب الإمام أحمد، فيضيع دين الإنسان. </w:t>
      </w:r>
    </w:p>
    <w:p w:rsidR="00000000" w:rsidRDefault="00F33B5B">
      <w:pPr>
        <w:ind w:firstLine="720"/>
        <w:jc w:val="lowKashida"/>
        <w:rPr>
          <w:rtl/>
        </w:rPr>
      </w:pPr>
      <w:r>
        <w:rPr>
          <w:b/>
          <w:bCs/>
          <w:rtl/>
        </w:rPr>
        <w:t>المسائل الخلافية تنقسم إلى قسمين</w:t>
      </w:r>
      <w:r>
        <w:rPr>
          <w:rtl/>
        </w:rPr>
        <w:t>؛ قسم: مسائل اجتهادية يسوغ فيها الخلاف؛ بمعنى أن الخلاف ثابت حقاً وله حكم النظر، فهذا لا إنكار فيه على المجتهد، أما عامة الناس، فإنهم يلزمون بما عليه علماء ب</w:t>
      </w:r>
      <w:r>
        <w:rPr>
          <w:rtl/>
        </w:rPr>
        <w:t xml:space="preserve">لدهم، لئلا ينفلت العامة؛ لأننا لو قلنا للعامي: أي قول يمرُّ عليك لك أن تأخذ به، لم تكن الأمة أمة واحدة، ولهذا قال شيخنا عبد الرحمن بن سعدي –رحمه الله-: "العوام على مذهب علمائهم". </w:t>
      </w:r>
    </w:p>
    <w:p w:rsidR="00000000" w:rsidRDefault="00F33B5B">
      <w:pPr>
        <w:ind w:firstLine="720"/>
        <w:jc w:val="lowKashida"/>
        <w:rPr>
          <w:rtl/>
        </w:rPr>
      </w:pPr>
      <w:r>
        <w:rPr>
          <w:rtl/>
        </w:rPr>
        <w:t>القسم الثاني من قسمي الخلاف: لا مساغ له ولا محل للاجتهاد فيه فينكر على المخا</w:t>
      </w:r>
      <w:r>
        <w:rPr>
          <w:rtl/>
        </w:rPr>
        <w:t>لف فيه لأنه لا عذر له"</w:t>
      </w:r>
      <w:r>
        <w:rPr>
          <w:vertAlign w:val="superscript"/>
          <w:rtl/>
        </w:rPr>
        <w:t>(</w:t>
      </w:r>
      <w:r>
        <w:rPr>
          <w:rStyle w:val="FootnoteReference"/>
          <w:rtl/>
        </w:rPr>
        <w:footnoteReference w:id="5"/>
      </w:r>
      <w:r>
        <w:rPr>
          <w:vertAlign w:val="superscript"/>
          <w:rtl/>
        </w:rPr>
        <w:t>)</w:t>
      </w:r>
      <w:r>
        <w:rPr>
          <w:rtl/>
        </w:rPr>
        <w:t>.</w:t>
      </w:r>
    </w:p>
    <w:p w:rsidR="00000000" w:rsidRDefault="00F33B5B">
      <w:pPr>
        <w:ind w:firstLine="720"/>
        <w:jc w:val="lowKashida"/>
        <w:rPr>
          <w:rtl/>
        </w:rPr>
      </w:pPr>
    </w:p>
    <w:p w:rsidR="00000000" w:rsidRDefault="00F33B5B">
      <w:pPr>
        <w:ind w:firstLine="720"/>
        <w:jc w:val="lowKashida"/>
        <w:rPr>
          <w:rtl/>
        </w:rPr>
      </w:pPr>
    </w:p>
    <w:p w:rsidR="00000000" w:rsidRDefault="00F33B5B">
      <w:pPr>
        <w:ind w:firstLine="720"/>
        <w:jc w:val="lowKashida"/>
        <w:rPr>
          <w:b/>
          <w:bCs/>
          <w:rtl/>
        </w:rPr>
      </w:pPr>
      <w:r>
        <w:rPr>
          <w:b/>
          <w:bCs/>
          <w:rtl/>
        </w:rPr>
        <w:lastRenderedPageBreak/>
        <w:t xml:space="preserve">مسائل "خلافية" يُنكر فيها على المخالف؛ لثبوت النص: </w:t>
      </w:r>
    </w:p>
    <w:p w:rsidR="00000000" w:rsidRDefault="00F33B5B">
      <w:pPr>
        <w:ind w:firstLine="720"/>
        <w:jc w:val="lowKashida"/>
        <w:rPr>
          <w:rtl/>
        </w:rPr>
      </w:pPr>
      <w:r>
        <w:rPr>
          <w:rtl/>
        </w:rPr>
        <w:t>هذه بعض المسائل التي ذكرها العلماء المحققون أنموذجاً للمسائل الخلافية التي يُنكر فيها على المخالف؛ لثبوت النص</w:t>
      </w:r>
      <w:r>
        <w:rPr>
          <w:vertAlign w:val="superscript"/>
          <w:rtl/>
        </w:rPr>
        <w:t>(</w:t>
      </w:r>
      <w:r>
        <w:rPr>
          <w:rStyle w:val="FootnoteReference"/>
          <w:rtl/>
        </w:rPr>
        <w:footnoteReference w:id="6"/>
      </w:r>
      <w:r>
        <w:rPr>
          <w:vertAlign w:val="superscript"/>
          <w:rtl/>
        </w:rPr>
        <w:t>)</w:t>
      </w:r>
      <w:r>
        <w:rPr>
          <w:rtl/>
        </w:rPr>
        <w:t xml:space="preserve">: </w:t>
      </w:r>
    </w:p>
    <w:p w:rsidR="00000000" w:rsidRDefault="00F33B5B">
      <w:pPr>
        <w:ind w:firstLine="720"/>
        <w:jc w:val="lowKashida"/>
        <w:rPr>
          <w:rtl/>
        </w:rPr>
      </w:pPr>
      <w:r>
        <w:rPr>
          <w:rtl/>
        </w:rPr>
        <w:t>1- تحريم نكاح التحليل. ومن ذهب إلى جواز هذا النكاح فإنه ينكر</w:t>
      </w:r>
      <w:r>
        <w:rPr>
          <w:rtl/>
        </w:rPr>
        <w:t xml:space="preserve"> عليه؛ لثبوت الأحاديث الصحيحة القاضية بتحريم هذا النكاح</w:t>
      </w:r>
      <w:r>
        <w:rPr>
          <w:vertAlign w:val="superscript"/>
          <w:rtl/>
        </w:rPr>
        <w:t>(</w:t>
      </w:r>
      <w:r>
        <w:rPr>
          <w:rStyle w:val="FootnoteReference"/>
          <w:rtl/>
        </w:rPr>
        <w:footnoteReference w:id="7"/>
      </w:r>
      <w:r>
        <w:rPr>
          <w:vertAlign w:val="superscript"/>
          <w:rtl/>
        </w:rPr>
        <w:t>)</w:t>
      </w:r>
      <w:r>
        <w:rPr>
          <w:rtl/>
        </w:rPr>
        <w:t>، ولا يحل للمخالف أن يقول بأن هذه مسألة خلافية بين العلماء فيجوز لي أن اختار أحد القولين. أما من خالف من العلماء فإنه معذور ولا يُظن به أنه تعمد مخالفة أحاديث النبي صلى الله عليه وسلم</w:t>
      </w:r>
      <w:r>
        <w:rPr>
          <w:vertAlign w:val="superscript"/>
          <w:rtl/>
        </w:rPr>
        <w:t>(</w:t>
      </w:r>
      <w:r>
        <w:rPr>
          <w:rStyle w:val="FootnoteReference"/>
          <w:rtl/>
        </w:rPr>
        <w:footnoteReference w:id="8"/>
      </w:r>
      <w:r>
        <w:rPr>
          <w:vertAlign w:val="superscript"/>
          <w:rtl/>
        </w:rPr>
        <w:t>)</w:t>
      </w:r>
      <w:r>
        <w:rPr>
          <w:rtl/>
        </w:rPr>
        <w:t xml:space="preserve">. </w:t>
      </w:r>
    </w:p>
    <w:p w:rsidR="00000000" w:rsidRDefault="00F33B5B">
      <w:pPr>
        <w:ind w:firstLine="720"/>
        <w:jc w:val="lowKashida"/>
        <w:rPr>
          <w:rtl/>
        </w:rPr>
      </w:pPr>
      <w:r>
        <w:rPr>
          <w:rtl/>
        </w:rPr>
        <w:t>2- مشروعي</w:t>
      </w:r>
      <w:r>
        <w:rPr>
          <w:rtl/>
        </w:rPr>
        <w:t>ة رفع اليدين عن الركوع وعند الرفع منه؛ لثبوت الأحاديث الصحيحة بذلك، ولا يجوز لأحد مخالفتها بدعوى أنها مسألة خلافية</w:t>
      </w:r>
      <w:r>
        <w:rPr>
          <w:vertAlign w:val="superscript"/>
          <w:rtl/>
        </w:rPr>
        <w:t>(</w:t>
      </w:r>
      <w:r>
        <w:rPr>
          <w:rStyle w:val="FootnoteReference"/>
          <w:rtl/>
        </w:rPr>
        <w:footnoteReference w:id="9"/>
      </w:r>
      <w:r>
        <w:rPr>
          <w:vertAlign w:val="superscript"/>
          <w:rtl/>
        </w:rPr>
        <w:t>)</w:t>
      </w:r>
      <w:r>
        <w:rPr>
          <w:rtl/>
        </w:rPr>
        <w:t xml:space="preserve">. </w:t>
      </w:r>
    </w:p>
    <w:p w:rsidR="00000000" w:rsidRDefault="00F33B5B">
      <w:pPr>
        <w:numPr>
          <w:ilvl w:val="0"/>
          <w:numId w:val="1"/>
        </w:numPr>
        <w:jc w:val="lowKashida"/>
        <w:rPr>
          <w:rtl/>
        </w:rPr>
      </w:pPr>
      <w:r>
        <w:rPr>
          <w:rtl/>
        </w:rPr>
        <w:t>تعيين التكبير للدخول في الصلاة</w:t>
      </w:r>
      <w:r>
        <w:rPr>
          <w:vertAlign w:val="superscript"/>
          <w:rtl/>
        </w:rPr>
        <w:t>(</w:t>
      </w:r>
      <w:r>
        <w:rPr>
          <w:rStyle w:val="FootnoteReference"/>
          <w:rtl/>
        </w:rPr>
        <w:footnoteReference w:id="10"/>
      </w:r>
      <w:r>
        <w:rPr>
          <w:vertAlign w:val="superscript"/>
          <w:rtl/>
        </w:rPr>
        <w:t>)</w:t>
      </w:r>
      <w:r>
        <w:rPr>
          <w:rtl/>
        </w:rPr>
        <w:t>.</w:t>
      </w:r>
    </w:p>
    <w:p w:rsidR="00000000" w:rsidRDefault="00F33B5B">
      <w:pPr>
        <w:numPr>
          <w:ilvl w:val="0"/>
          <w:numId w:val="1"/>
        </w:numPr>
        <w:jc w:val="lowKashida"/>
        <w:rPr>
          <w:rtl/>
        </w:rPr>
      </w:pPr>
      <w:r>
        <w:rPr>
          <w:rtl/>
        </w:rPr>
        <w:t>تعيين التسليم للتحلل من الصلاة</w:t>
      </w:r>
      <w:r>
        <w:rPr>
          <w:vertAlign w:val="superscript"/>
          <w:rtl/>
        </w:rPr>
        <w:t>(</w:t>
      </w:r>
      <w:r>
        <w:rPr>
          <w:rStyle w:val="FootnoteReference"/>
          <w:rtl/>
        </w:rPr>
        <w:footnoteReference w:id="11"/>
      </w:r>
      <w:r>
        <w:rPr>
          <w:vertAlign w:val="superscript"/>
          <w:rtl/>
        </w:rPr>
        <w:t>)</w:t>
      </w:r>
      <w:r>
        <w:rPr>
          <w:rtl/>
        </w:rPr>
        <w:t xml:space="preserve">. </w:t>
      </w:r>
    </w:p>
    <w:p w:rsidR="00000000" w:rsidRDefault="00F33B5B">
      <w:pPr>
        <w:numPr>
          <w:ilvl w:val="0"/>
          <w:numId w:val="1"/>
        </w:numPr>
        <w:jc w:val="lowKashida"/>
        <w:rPr>
          <w:rtl/>
        </w:rPr>
      </w:pPr>
      <w:r>
        <w:rPr>
          <w:rtl/>
        </w:rPr>
        <w:t>إذا أقيمت الصلاة فلا صلاة إلا المكتوبة</w:t>
      </w:r>
      <w:r>
        <w:rPr>
          <w:vertAlign w:val="superscript"/>
          <w:rtl/>
        </w:rPr>
        <w:t>(</w:t>
      </w:r>
      <w:r>
        <w:rPr>
          <w:rStyle w:val="FootnoteReference"/>
          <w:rtl/>
        </w:rPr>
        <w:footnoteReference w:id="12"/>
      </w:r>
      <w:r>
        <w:rPr>
          <w:vertAlign w:val="superscript"/>
          <w:rtl/>
        </w:rPr>
        <w:t>)</w:t>
      </w:r>
      <w:r>
        <w:rPr>
          <w:rtl/>
        </w:rPr>
        <w:t xml:space="preserve">. </w:t>
      </w:r>
    </w:p>
    <w:p w:rsidR="00000000" w:rsidRDefault="00F33B5B">
      <w:pPr>
        <w:jc w:val="lowKashida"/>
        <w:rPr>
          <w:rtl/>
        </w:rPr>
      </w:pPr>
    </w:p>
    <w:p w:rsidR="00000000" w:rsidRDefault="00F33B5B">
      <w:pPr>
        <w:jc w:val="lowKashida"/>
        <w:rPr>
          <w:b/>
          <w:bCs/>
          <w:rtl/>
        </w:rPr>
      </w:pPr>
      <w:r>
        <w:rPr>
          <w:b/>
          <w:bCs/>
          <w:rtl/>
        </w:rPr>
        <w:t xml:space="preserve">كشف وجه المرأة : هل </w:t>
      </w:r>
      <w:r>
        <w:rPr>
          <w:b/>
          <w:bCs/>
          <w:rtl/>
        </w:rPr>
        <w:t>هو من المسائل "الخلافية" أم "الاجتهادية" ؟!</w:t>
      </w:r>
    </w:p>
    <w:p w:rsidR="00000000" w:rsidRDefault="00F33B5B">
      <w:pPr>
        <w:ind w:firstLine="720"/>
        <w:jc w:val="lowKashida"/>
        <w:rPr>
          <w:rtl/>
        </w:rPr>
      </w:pPr>
      <w:r>
        <w:rPr>
          <w:rtl/>
        </w:rPr>
        <w:t xml:space="preserve">هذه المسألة هي أكثر المسائل المطروقة في هذا الباب: وهي تقريباً أول مسألة تعرض للقارئ. </w:t>
      </w:r>
    </w:p>
    <w:p w:rsidR="00000000" w:rsidRDefault="00F33B5B">
      <w:pPr>
        <w:ind w:firstLine="720"/>
        <w:jc w:val="lowKashida"/>
        <w:rPr>
          <w:rtl/>
        </w:rPr>
      </w:pPr>
      <w:r>
        <w:rPr>
          <w:rtl/>
        </w:rPr>
        <w:lastRenderedPageBreak/>
        <w:t>فالبعض قد يعدها من قبيل "المسائل الخلافية" التي ينكر فيها على المخالف لثبوت النص بوجوب تغطية المرأة لوجهها أمام الأجانب</w:t>
      </w:r>
      <w:r>
        <w:rPr>
          <w:vertAlign w:val="superscript"/>
          <w:rtl/>
        </w:rPr>
        <w:t>(</w:t>
      </w:r>
      <w:r>
        <w:rPr>
          <w:rStyle w:val="FootnoteReference"/>
          <w:rtl/>
        </w:rPr>
        <w:footnoteReference w:id="13"/>
      </w:r>
      <w:r>
        <w:rPr>
          <w:vertAlign w:val="superscript"/>
          <w:rtl/>
        </w:rPr>
        <w:t>)</w:t>
      </w:r>
      <w:r>
        <w:rPr>
          <w:rtl/>
        </w:rPr>
        <w:t>، و</w:t>
      </w:r>
      <w:r>
        <w:rPr>
          <w:rtl/>
        </w:rPr>
        <w:t>أيضاً فقد ثبت فيها الإجماع العلمي لدى المسلمين. قال الحافظ ابن حجر: "لم تزل عادة النساء قديمًا وحديثاً يسترن وجوههن عن الأجانب"</w:t>
      </w:r>
      <w:r>
        <w:rPr>
          <w:sz w:val="22"/>
          <w:szCs w:val="42"/>
          <w:vertAlign w:val="superscript"/>
          <w:rtl/>
        </w:rPr>
        <w:t>(</w:t>
      </w:r>
      <w:r>
        <w:rPr>
          <w:rStyle w:val="FootnoteReference"/>
          <w:sz w:val="22"/>
          <w:szCs w:val="42"/>
          <w:rtl/>
        </w:rPr>
        <w:footnoteReference w:id="14"/>
      </w:r>
      <w:r>
        <w:rPr>
          <w:sz w:val="22"/>
          <w:szCs w:val="42"/>
          <w:vertAlign w:val="superscript"/>
          <w:rtl/>
        </w:rPr>
        <w:t>)</w:t>
      </w:r>
      <w:r>
        <w:rPr>
          <w:rtl/>
        </w:rPr>
        <w:t xml:space="preserve"> . ونقل ابن رسلان: "اتفاق المسلمين على منع النساء أن يخرجن سافرات الوجوه"</w:t>
      </w:r>
      <w:r>
        <w:rPr>
          <w:sz w:val="22"/>
          <w:szCs w:val="42"/>
          <w:vertAlign w:val="superscript"/>
          <w:rtl/>
        </w:rPr>
        <w:t>(</w:t>
      </w:r>
      <w:r>
        <w:rPr>
          <w:rStyle w:val="FootnoteReference"/>
          <w:sz w:val="22"/>
          <w:szCs w:val="42"/>
          <w:rtl/>
        </w:rPr>
        <w:footnoteReference w:id="15"/>
      </w:r>
      <w:r>
        <w:rPr>
          <w:sz w:val="22"/>
          <w:szCs w:val="42"/>
          <w:vertAlign w:val="superscript"/>
          <w:rtl/>
        </w:rPr>
        <w:t>)</w:t>
      </w:r>
      <w:r>
        <w:rPr>
          <w:rtl/>
        </w:rPr>
        <w:t>، ولهذا فإنه ينكر على من خالف هذا القول. مع الاعتذ</w:t>
      </w:r>
      <w:r>
        <w:rPr>
          <w:rtl/>
        </w:rPr>
        <w:t xml:space="preserve">ار للعلماء المتأخرين الذين اختاروا القول الآخر. </w:t>
      </w:r>
    </w:p>
    <w:p w:rsidR="00000000" w:rsidRDefault="00F33B5B">
      <w:pPr>
        <w:ind w:firstLine="720"/>
        <w:jc w:val="lowKashida"/>
        <w:rPr>
          <w:rtl/>
        </w:rPr>
      </w:pPr>
      <w:r>
        <w:rPr>
          <w:rtl/>
        </w:rPr>
        <w:t xml:space="preserve">والبعض الآخر قد يعدها من قبيل "المسائل الاجتهادية" التي يسوغ فيها الخلاف. </w:t>
      </w:r>
    </w:p>
    <w:p w:rsidR="00000000" w:rsidRDefault="00F33B5B">
      <w:pPr>
        <w:ind w:firstLine="720"/>
        <w:jc w:val="lowKashida"/>
        <w:rPr>
          <w:rtl/>
        </w:rPr>
      </w:pPr>
      <w:r>
        <w:rPr>
          <w:b/>
          <w:bCs/>
          <w:rtl/>
        </w:rPr>
        <w:t xml:space="preserve">وعلى كلا القولين </w:t>
      </w:r>
      <w:r>
        <w:rPr>
          <w:rtl/>
        </w:rPr>
        <w:t>: فإنه يُنكر على من كشفت وجهها في البلاد التي يعمل أهلها بالقول الأول؛ وهو وجوب تغطية المرأة لوجهها؛ لأنه على القول</w:t>
      </w:r>
      <w:r>
        <w:rPr>
          <w:rtl/>
        </w:rPr>
        <w:t xml:space="preserve"> بأنها من المسائل "الخلافية" التي ثبت فيها النص؛ فإنه ينكر على من خالف النص، وعلى القول بأنها من المسائل "الاجتهادية" فإنه ينكر على المخالف بسبب أن اختياره للقول الآخر وهو جواز كشف الوجه يسبب فتنة لأهل هذه البلاد ولنسائهم. </w:t>
      </w:r>
    </w:p>
    <w:p w:rsidR="00000000" w:rsidRDefault="00F33B5B">
      <w:pPr>
        <w:ind w:firstLine="720"/>
        <w:jc w:val="lowKashida"/>
        <w:rPr>
          <w:rtl/>
        </w:rPr>
      </w:pPr>
    </w:p>
    <w:p w:rsidR="00000000" w:rsidRDefault="00F33B5B">
      <w:pPr>
        <w:ind w:firstLine="720"/>
        <w:jc w:val="lowKashida"/>
        <w:rPr>
          <w:b/>
          <w:bCs/>
          <w:rtl/>
        </w:rPr>
      </w:pPr>
      <w:r>
        <w:rPr>
          <w:b/>
          <w:bCs/>
          <w:rtl/>
        </w:rPr>
        <w:t>فتوى الشيخ ابن عثيمين –رحمه الل</w:t>
      </w:r>
      <w:r>
        <w:rPr>
          <w:b/>
          <w:bCs/>
          <w:rtl/>
        </w:rPr>
        <w:t xml:space="preserve">ه- في هذه المسألة: </w:t>
      </w:r>
    </w:p>
    <w:p w:rsidR="00000000" w:rsidRDefault="00F33B5B">
      <w:pPr>
        <w:ind w:firstLine="720"/>
        <w:jc w:val="lowKashida"/>
        <w:rPr>
          <w:rtl/>
        </w:rPr>
      </w:pPr>
      <w:r>
        <w:rPr>
          <w:rtl/>
        </w:rPr>
        <w:t>سئل –رحمه الله-:</w:t>
      </w:r>
    </w:p>
    <w:p w:rsidR="00000000" w:rsidRDefault="00F33B5B">
      <w:pPr>
        <w:ind w:firstLine="720"/>
        <w:jc w:val="lowKashida"/>
        <w:rPr>
          <w:rtl/>
        </w:rPr>
      </w:pPr>
      <w:r>
        <w:rPr>
          <w:rtl/>
        </w:rPr>
        <w:t xml:space="preserve">"فضيلة الشيخ، لا شك أن من شروط الآمر بالمعروف والناهي عن المنكر أن يكون عالماً بشروطه. هل هو منكر أو غير منكر؟ وبعض الناس إذا رأى أحد رجال الهيئة يعترض على امرأة كاشفة الوجه. يقول: لا يجب عليك أن تنكر؛ لأنها </w:t>
      </w:r>
      <w:r>
        <w:rPr>
          <w:rtl/>
        </w:rPr>
        <w:lastRenderedPageBreak/>
        <w:t xml:space="preserve">لا تخلو من </w:t>
      </w:r>
      <w:r>
        <w:rPr>
          <w:rtl/>
        </w:rPr>
        <w:t xml:space="preserve">حالتين: إما أن تكون مسلمة ترى عدم وجوب ستر الوجه، وإلا كافرة فلا يجب في الأصل أن تتحجب. هل ما يقول هذا صحيح، أو غير صحيح؟ </w:t>
      </w:r>
    </w:p>
    <w:p w:rsidR="00000000" w:rsidRDefault="00F33B5B">
      <w:pPr>
        <w:ind w:firstLine="720"/>
        <w:jc w:val="lowKashida"/>
        <w:rPr>
          <w:rtl/>
        </w:rPr>
      </w:pPr>
      <w:r>
        <w:rPr>
          <w:rtl/>
        </w:rPr>
        <w:t xml:space="preserve">والجواب: لا، هذا غير صحيح، لأن المعاصي قسمان: قسم لا تضر إلا صاحبها فهذا ندعه ورأيه إذا كان أهلاً للاجتهاد. وقسم تضر غير صاحبها، ولا </w:t>
      </w:r>
      <w:r>
        <w:rPr>
          <w:rtl/>
        </w:rPr>
        <w:t xml:space="preserve">شك أن كشف المرأة وجهها لا يختص ضرره بها هي، بل يضر غيرها؛ لأن الناس يفتتنون بها، وعلى هذا يجب أن تنهاها سواء كانت كافرة أو مسلمة، وسواء كانت ترى هذا القول أولا تراه، انهها وأنت إذا فعلت ما فيه ردع الشر سلمت منه. </w:t>
      </w:r>
    </w:p>
    <w:p w:rsidR="00000000" w:rsidRDefault="00F33B5B">
      <w:pPr>
        <w:ind w:firstLine="720"/>
        <w:jc w:val="lowKashida"/>
        <w:rPr>
          <w:rtl/>
        </w:rPr>
      </w:pPr>
      <w:r>
        <w:rPr>
          <w:rtl/>
        </w:rPr>
        <w:t>أما ما كان لا يضر إلا صاحبه؛ مثل رجل يشرب ا</w:t>
      </w:r>
      <w:r>
        <w:rPr>
          <w:rtl/>
        </w:rPr>
        <w:t>لدخان، وقال: أنا أرى حلّه ولا أرى أنه حرام، وعلمائي يقولون إنه حلال، فهذا ندعه إذا كان عاميًّا، لأن العاميّ قوله قول علمائه، فإذا قال: أنا أرى أنه ليس بحرام نتركه لأن هذا لا يضر إلا نفسه. إلا إذا ثبت صحيًّا أنه يضر الناس بخنقهم أو كان يؤذيهم برائحته، قد نم</w:t>
      </w:r>
      <w:r>
        <w:rPr>
          <w:rtl/>
        </w:rPr>
        <w:t xml:space="preserve">نعه من هذه الناحية. </w:t>
      </w:r>
    </w:p>
    <w:p w:rsidR="00000000" w:rsidRDefault="00F33B5B">
      <w:pPr>
        <w:ind w:firstLine="720"/>
        <w:jc w:val="lowKashida"/>
        <w:rPr>
          <w:rtl/>
        </w:rPr>
      </w:pPr>
      <w:r>
        <w:rPr>
          <w:rtl/>
        </w:rPr>
        <w:t>فاعرف هذه القاعدة: إن المعاصي قسمان: قسم لا تضر إلا صاحبها فهذه إذا خالفنا أحد في اجتهادنا ندعه، وقسم تضر الغير فهذا نمنعه من أجل الضرر المتعدي. لكن إذا خيف من ذلك فتنة تزيد على كشف هذا الوجه، فإنه يُدرأ أعظم الشرين بأخفهما. ولكن إذا ر</w:t>
      </w:r>
      <w:r>
        <w:rPr>
          <w:rtl/>
        </w:rPr>
        <w:t>أيت امرأة كاشفة مع ولي أمرها تمسك ولي الأمر وتقول: يا أخي هذا لا يجوز هذا حرام هذا يضر أهلك ويضر غيرهم. تكلمه بالتي هي أحسن؛ باللين. لا تتكلم مع المرأة نفسها؛ قد يكون في هذا ضرر أكبر عليك أنت"</w:t>
      </w:r>
      <w:r>
        <w:rPr>
          <w:vertAlign w:val="superscript"/>
          <w:rtl/>
        </w:rPr>
        <w:t>(</w:t>
      </w:r>
      <w:r>
        <w:rPr>
          <w:rStyle w:val="FootnoteReference"/>
          <w:rtl/>
        </w:rPr>
        <w:footnoteReference w:id="16"/>
      </w:r>
      <w:r>
        <w:rPr>
          <w:vertAlign w:val="superscript"/>
          <w:rtl/>
        </w:rPr>
        <w:t>)</w:t>
      </w:r>
      <w:r>
        <w:rPr>
          <w:rtl/>
        </w:rPr>
        <w:t xml:space="preserve"> . </w:t>
      </w:r>
    </w:p>
    <w:p w:rsidR="00000000" w:rsidRDefault="00F33B5B">
      <w:pPr>
        <w:ind w:firstLine="720"/>
        <w:jc w:val="lowKashida"/>
        <w:rPr>
          <w:rtl/>
        </w:rPr>
      </w:pPr>
      <w:r>
        <w:rPr>
          <w:b/>
          <w:bCs/>
          <w:rtl/>
        </w:rPr>
        <w:t>وسئل –رحمه الله-:</w:t>
      </w:r>
      <w:r>
        <w:rPr>
          <w:rtl/>
        </w:rPr>
        <w:t xml:space="preserve"> "فضيلة الشيخ: هل ينكر على المرأة التي ت</w:t>
      </w:r>
      <w:r>
        <w:rPr>
          <w:rtl/>
        </w:rPr>
        <w:t xml:space="preserve">كشف الوجه، أم أن المسألة خلافية، والمسائل الخلافية لا إنكار فيها ؟ </w:t>
      </w:r>
    </w:p>
    <w:p w:rsidR="00000000" w:rsidRDefault="00F33B5B">
      <w:pPr>
        <w:ind w:firstLine="720"/>
        <w:jc w:val="lowKashida"/>
        <w:rPr>
          <w:rtl/>
        </w:rPr>
      </w:pPr>
      <w:r>
        <w:rPr>
          <w:rtl/>
        </w:rPr>
        <w:lastRenderedPageBreak/>
        <w:t xml:space="preserve">الجواب: لو أننا قلنا: المسائل الخلافية لا ينكر فيها على الإطلاق، ذهب الدين كلّه حين تتبع الرخص لأنك لا تكاد تجد مسألة إلا وفيها خلاف بين الناس. نضرب مثلاً: هذا رجلٌ مسَّ امرأة لشهوة، وأكل </w:t>
      </w:r>
      <w:r>
        <w:rPr>
          <w:rtl/>
        </w:rPr>
        <w:t>لحم إبل، ثم قام ليصلي، فقال: أنا أتبع الإمام أحمد في أن مسَّ المرأة لا ينقض الوضوء، وأتبع الشافعي في أن لحم الإبل لا ينقض الوضوء، وسأصلي على هذه الحال، فهل صلاته الآن صحيحة على المذهبين ؟ هي غير صحيحة؛ لأنها إن لم تبطل على مذهب الإمام أحمد بن حنبل بطلت على</w:t>
      </w:r>
      <w:r>
        <w:rPr>
          <w:rtl/>
        </w:rPr>
        <w:t xml:space="preserve"> مذهب الإمام الشافعي، وإن لم تبطل على مذهب الإمام الشافعي بطلت على مذهب الإمام أحمد، فيضيع دين الإنسان. المسائل الخلافية تنقسم إلى قسمين؛ قسم: مسائل اجتهادية يسوغ فيها الخلاف؛ بمعنى أن الخلاف ثابت حقاً وله حكم النظر، فهذا لا إنكار فيه على المجتهد، أما عامة</w:t>
      </w:r>
      <w:r>
        <w:rPr>
          <w:rtl/>
        </w:rPr>
        <w:t xml:space="preserve"> الناس، فإنهم يلزمون بما عليه علماء بلدهم، لئلا ينفلت العامة؛ لأننا لو قلنا للعامي: أي قول يمرُّ عليك لك أن تأخذ به، لم تكن الأمة أمة واحدة، ولهذا قال شيخنا عبد الرحمن بن سعدي –رحمه الله-: "العوام على مذهب علمائهم". فمثلاً عندنا هنا في المملكة العربية السع</w:t>
      </w:r>
      <w:r>
        <w:rPr>
          <w:rtl/>
        </w:rPr>
        <w:t xml:space="preserve">ودية أنه يجب على المرأة أن تغطي وجهها، فنحن نلزم نساءنا بذلك، حتى لو قالت لنا امرأة: أنا سأتبع المذهب الفلاني وكشف الوجه فيه جائز، قلنا: ليس لك ذلك؛ لأنك عامية ما وصلت إلى درجة الاجتهاد، وإنما تريدين اتباع هذا المذهب لأنه رخصة، وتتبع الرخص حرام. </w:t>
      </w:r>
    </w:p>
    <w:p w:rsidR="00000000" w:rsidRDefault="00F33B5B">
      <w:pPr>
        <w:ind w:firstLine="720"/>
        <w:jc w:val="lowKashida"/>
        <w:rPr>
          <w:rtl/>
        </w:rPr>
      </w:pPr>
      <w:r>
        <w:rPr>
          <w:rtl/>
        </w:rPr>
        <w:t>أما لو ذه</w:t>
      </w:r>
      <w:r>
        <w:rPr>
          <w:rtl/>
        </w:rPr>
        <w:t>ب عالم من العلماء الذي أداه اجتهاده إلى أن المرأة لا حرج عليها في كشف الوجه، ويقول: إنها امرأتي سوف أجعلها تكشف الوجه، قلنا: لا بأس، لكن لا يجعلها تكشف الوجه في بلاد يسترون الوجوه، يمنع من هذا؛ لأنه يفسد غيره، ولأن المسألة فيها اتفاق على أن ستر الوجه أولى،</w:t>
      </w:r>
      <w:r>
        <w:rPr>
          <w:rtl/>
        </w:rPr>
        <w:t xml:space="preserve"> فإذا كان ستر الوجه أولى فنحن إذا ألزمناه بذلك لم نكن ألزمناه بما هو حرام على مذهبه، إنما ألزمناه بالأولى على مذهبه، ولأمر آخر هو ألا يقلده غيره من أهل هذه البلاد المحافظة، فيحصل </w:t>
      </w:r>
      <w:r>
        <w:rPr>
          <w:rtl/>
        </w:rPr>
        <w:lastRenderedPageBreak/>
        <w:t>من ذلك تفرق وتفتيت للكلمة. أما إذا ذهب إلى بلاده، فلا نلزمه برأينا، ما دامت ا</w:t>
      </w:r>
      <w:r>
        <w:rPr>
          <w:rtl/>
        </w:rPr>
        <w:t xml:space="preserve">لمسألة اجتهادية وتخضع لشيء من النظر في الأدلة والترجيح بينها. </w:t>
      </w:r>
    </w:p>
    <w:p w:rsidR="00000000" w:rsidRDefault="00F33B5B">
      <w:pPr>
        <w:ind w:firstLine="720"/>
        <w:jc w:val="lowKashida"/>
        <w:rPr>
          <w:rtl/>
        </w:rPr>
      </w:pPr>
      <w:r>
        <w:rPr>
          <w:rtl/>
        </w:rPr>
        <w:t>القسم الثاني من قسمي الخلاف: لا مساغ له ولا محل للاجتهاد فيه، فينكر على المخالف فيه لأنه لا عذر له"</w:t>
      </w:r>
      <w:r>
        <w:rPr>
          <w:vertAlign w:val="superscript"/>
          <w:rtl/>
        </w:rPr>
        <w:t>(</w:t>
      </w:r>
      <w:r>
        <w:rPr>
          <w:rStyle w:val="FootnoteReference"/>
          <w:rtl/>
        </w:rPr>
        <w:footnoteReference w:id="17"/>
      </w:r>
      <w:r>
        <w:rPr>
          <w:vertAlign w:val="superscript"/>
          <w:rtl/>
        </w:rPr>
        <w:t>)</w:t>
      </w:r>
      <w:r>
        <w:rPr>
          <w:rtl/>
        </w:rPr>
        <w:t xml:space="preserve">. </w:t>
      </w:r>
    </w:p>
    <w:p w:rsidR="00000000" w:rsidRDefault="00F33B5B">
      <w:pPr>
        <w:ind w:firstLine="720"/>
        <w:jc w:val="lowKashida"/>
        <w:rPr>
          <w:rtl/>
        </w:rPr>
      </w:pPr>
      <w:r>
        <w:rPr>
          <w:b/>
          <w:bCs/>
          <w:rtl/>
        </w:rPr>
        <w:t>قلت</w:t>
      </w:r>
      <w:r>
        <w:rPr>
          <w:rtl/>
        </w:rPr>
        <w:t xml:space="preserve">: ومن أراد الزيادة في هذه المسألة فعليه بكتاب: "حكم الإنكار في مسائل الخلاف" </w:t>
      </w:r>
      <w:r>
        <w:rPr>
          <w:rtl/>
        </w:rPr>
        <w:t>ل</w:t>
      </w:r>
      <w:r>
        <w:rPr>
          <w:rtl/>
        </w:rPr>
        <w:t xml:space="preserve">لدكتور </w:t>
      </w:r>
      <w:r>
        <w:rPr>
          <w:rtl/>
        </w:rPr>
        <w:t xml:space="preserve">فضل إلهي ظهير –وفقه الله-. ورسالة: "حجج الأسلاف في بيان الفرق بين مسائل الإجتهاد ومسائل الخلاف" للشيخ فوزي الأثري –وفقه الله-. ومنهما استفدت كثيرًا مما جاء في هذه الرسالة، مع زيادات مفيدة. </w:t>
      </w:r>
    </w:p>
    <w:p w:rsidR="00000000" w:rsidRDefault="00F33B5B">
      <w:pPr>
        <w:ind w:firstLine="720"/>
        <w:jc w:val="lowKashida"/>
        <w:rPr>
          <w:rtl/>
        </w:rPr>
      </w:pPr>
    </w:p>
    <w:p w:rsidR="00F33B5B" w:rsidRDefault="00F33B5B">
      <w:pPr>
        <w:ind w:firstLine="720"/>
        <w:jc w:val="lowKashida"/>
      </w:pPr>
      <w:r>
        <w:rPr>
          <w:rtl/>
        </w:rPr>
        <w:t xml:space="preserve">والله أعلم، وصلى الله على نبينا محمد وآله وصحبه وسلم . </w:t>
      </w:r>
    </w:p>
    <w:sectPr w:rsidR="00F33B5B">
      <w:footerReference w:type="even" r:id="rId7"/>
      <w:footerReference w:type="default" r:id="rId8"/>
      <w:footnotePr>
        <w:numRestart w:val="eachPage"/>
      </w:footnotePr>
      <w:pgSz w:w="11906" w:h="16838"/>
      <w:pgMar w:top="1440" w:right="1800" w:bottom="1440" w:left="1800" w:header="720" w:footer="720" w:gutter="0"/>
      <w:pgBorders w:display="firstPage" w:offsetFrom="page">
        <w:top w:val="decoArchColor" w:sz="13" w:space="24" w:color="auto"/>
        <w:left w:val="decoArchColor" w:sz="13" w:space="24" w:color="auto"/>
        <w:bottom w:val="decoArchColor" w:sz="13" w:space="24" w:color="auto"/>
        <w:right w:val="decoArchColor" w:sz="13" w:space="24" w:color="auto"/>
      </w:pgBorders>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3B5B" w:rsidRDefault="00F33B5B">
      <w:r>
        <w:separator/>
      </w:r>
    </w:p>
  </w:endnote>
  <w:endnote w:type="continuationSeparator" w:id="0">
    <w:p w:rsidR="00F33B5B" w:rsidRDefault="00F33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F33B5B">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Pr>
        <w:rStyle w:val="PageNumber"/>
        <w:rtl/>
      </w:rPr>
      <w:t>1</w:t>
    </w:r>
    <w:r>
      <w:rPr>
        <w:rStyle w:val="PageNumber"/>
        <w:rtl/>
      </w:rPr>
      <w:fldChar w:fldCharType="end"/>
    </w:r>
  </w:p>
  <w:p w:rsidR="00000000" w:rsidRDefault="00F33B5B">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F33B5B">
    <w:pPr>
      <w:pStyle w:val="Footer"/>
      <w:framePr w:wrap="around" w:vAnchor="text" w:hAnchor="margin" w:xAlign="center" w:y="1"/>
      <w:jc w:val="center"/>
      <w:rPr>
        <w:rStyle w:val="PageNumber"/>
        <w:szCs w:val="32"/>
        <w:rtl/>
      </w:rPr>
    </w:pPr>
    <w:r>
      <w:rPr>
        <w:rStyle w:val="PageNumber"/>
        <w:szCs w:val="32"/>
        <w:rtl/>
      </w:rPr>
      <w:fldChar w:fldCharType="begin"/>
    </w:r>
    <w:r>
      <w:rPr>
        <w:rStyle w:val="PageNumber"/>
        <w:szCs w:val="32"/>
      </w:rPr>
      <w:instrText xml:space="preserve">PAGE  </w:instrText>
    </w:r>
    <w:r>
      <w:rPr>
        <w:rStyle w:val="PageNumber"/>
        <w:szCs w:val="32"/>
        <w:rtl/>
      </w:rPr>
      <w:fldChar w:fldCharType="separate"/>
    </w:r>
    <w:r w:rsidR="00E771CB">
      <w:rPr>
        <w:rStyle w:val="PageNumber"/>
        <w:noProof/>
        <w:szCs w:val="32"/>
        <w:rtl/>
      </w:rPr>
      <w:t>1</w:t>
    </w:r>
    <w:r>
      <w:rPr>
        <w:rStyle w:val="PageNumber"/>
        <w:szCs w:val="32"/>
        <w:rtl/>
      </w:rPr>
      <w:fldChar w:fldCharType="end"/>
    </w:r>
  </w:p>
  <w:p w:rsidR="00000000" w:rsidRDefault="00F33B5B">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3B5B" w:rsidRDefault="00F33B5B">
      <w:r>
        <w:separator/>
      </w:r>
    </w:p>
  </w:footnote>
  <w:footnote w:type="continuationSeparator" w:id="0">
    <w:p w:rsidR="00F33B5B" w:rsidRDefault="00F33B5B">
      <w:r>
        <w:continuationSeparator/>
      </w:r>
    </w:p>
  </w:footnote>
  <w:footnote w:id="1">
    <w:p w:rsidR="00000000" w:rsidRDefault="00F33B5B">
      <w:pPr>
        <w:pStyle w:val="FootnoteText"/>
        <w:ind w:left="509" w:hanging="509"/>
        <w:jc w:val="lowKashida"/>
        <w:rPr>
          <w:sz w:val="24"/>
          <w:szCs w:val="28"/>
          <w:rtl/>
        </w:rPr>
      </w:pPr>
      <w:r>
        <w:rPr>
          <w:sz w:val="24"/>
          <w:szCs w:val="28"/>
          <w:rtl/>
        </w:rPr>
        <w:t>(</w:t>
      </w:r>
      <w:r>
        <w:rPr>
          <w:rStyle w:val="FootnoteReference"/>
          <w:sz w:val="24"/>
          <w:szCs w:val="28"/>
          <w:vertAlign w:val="baseline"/>
          <w:rtl/>
        </w:rPr>
        <w:footnoteRef/>
      </w:r>
      <w:r>
        <w:rPr>
          <w:sz w:val="24"/>
          <w:szCs w:val="28"/>
          <w:rtl/>
        </w:rPr>
        <w:t>)</w:t>
      </w:r>
      <w:r>
        <w:rPr>
          <w:sz w:val="24"/>
          <w:szCs w:val="28"/>
          <w:rtl/>
        </w:rPr>
        <w:tab/>
        <w:t xml:space="preserve"> بيان</w:t>
      </w:r>
      <w:r>
        <w:rPr>
          <w:sz w:val="24"/>
          <w:szCs w:val="28"/>
          <w:rtl/>
        </w:rPr>
        <w:t xml:space="preserve"> الدليل على بطلان التحليل (ص 210-211) باختصار . </w:t>
      </w:r>
    </w:p>
  </w:footnote>
  <w:footnote w:id="2">
    <w:p w:rsidR="00000000" w:rsidRDefault="00F33B5B">
      <w:pPr>
        <w:pStyle w:val="FootnoteText"/>
        <w:ind w:left="509" w:hanging="509"/>
        <w:jc w:val="lowKashida"/>
        <w:rPr>
          <w:sz w:val="24"/>
          <w:szCs w:val="28"/>
          <w:rtl/>
        </w:rPr>
      </w:pPr>
      <w:r>
        <w:rPr>
          <w:sz w:val="24"/>
          <w:szCs w:val="28"/>
          <w:rtl/>
        </w:rPr>
        <w:t>(</w:t>
      </w:r>
      <w:r>
        <w:rPr>
          <w:rStyle w:val="FootnoteReference"/>
          <w:sz w:val="24"/>
          <w:szCs w:val="28"/>
          <w:vertAlign w:val="baseline"/>
          <w:rtl/>
        </w:rPr>
        <w:footnoteRef/>
      </w:r>
      <w:r>
        <w:rPr>
          <w:sz w:val="24"/>
          <w:szCs w:val="28"/>
          <w:rtl/>
        </w:rPr>
        <w:t>)</w:t>
      </w:r>
      <w:r>
        <w:rPr>
          <w:sz w:val="24"/>
          <w:szCs w:val="28"/>
          <w:rtl/>
        </w:rPr>
        <w:tab/>
        <w:t xml:space="preserve"> إعلام الموقعين (3/ 300-301)</w:t>
      </w:r>
    </w:p>
  </w:footnote>
  <w:footnote w:id="3">
    <w:p w:rsidR="00000000" w:rsidRDefault="00F33B5B">
      <w:pPr>
        <w:pStyle w:val="FootnoteText"/>
        <w:ind w:left="509" w:hanging="509"/>
        <w:jc w:val="lowKashida"/>
        <w:rPr>
          <w:sz w:val="24"/>
          <w:szCs w:val="28"/>
          <w:rtl/>
        </w:rPr>
      </w:pPr>
      <w:r>
        <w:rPr>
          <w:sz w:val="24"/>
          <w:szCs w:val="28"/>
          <w:rtl/>
        </w:rPr>
        <w:t>(</w:t>
      </w:r>
      <w:r>
        <w:rPr>
          <w:rStyle w:val="FootnoteReference"/>
          <w:sz w:val="24"/>
          <w:szCs w:val="28"/>
          <w:vertAlign w:val="baseline"/>
          <w:rtl/>
        </w:rPr>
        <w:footnoteRef/>
      </w:r>
      <w:r>
        <w:rPr>
          <w:sz w:val="24"/>
          <w:szCs w:val="28"/>
          <w:rtl/>
        </w:rPr>
        <w:t>)</w:t>
      </w:r>
      <w:r>
        <w:rPr>
          <w:sz w:val="24"/>
          <w:szCs w:val="28"/>
          <w:rtl/>
        </w:rPr>
        <w:tab/>
        <w:t xml:space="preserve"> الدرر السنية (4/8).</w:t>
      </w:r>
    </w:p>
  </w:footnote>
  <w:footnote w:id="4">
    <w:p w:rsidR="00000000" w:rsidRDefault="00F33B5B">
      <w:pPr>
        <w:pStyle w:val="FootnoteText"/>
        <w:ind w:left="509" w:hanging="509"/>
        <w:jc w:val="lowKashida"/>
        <w:rPr>
          <w:sz w:val="24"/>
          <w:szCs w:val="28"/>
          <w:rtl/>
        </w:rPr>
      </w:pPr>
      <w:r>
        <w:rPr>
          <w:sz w:val="24"/>
          <w:szCs w:val="28"/>
          <w:rtl/>
        </w:rPr>
        <w:t>(</w:t>
      </w:r>
      <w:r>
        <w:rPr>
          <w:rStyle w:val="FootnoteReference"/>
          <w:sz w:val="24"/>
          <w:szCs w:val="28"/>
          <w:vertAlign w:val="baseline"/>
          <w:rtl/>
        </w:rPr>
        <w:footnoteRef/>
      </w:r>
      <w:r>
        <w:rPr>
          <w:sz w:val="24"/>
          <w:szCs w:val="28"/>
          <w:rtl/>
        </w:rPr>
        <w:t>)</w:t>
      </w:r>
      <w:r>
        <w:rPr>
          <w:sz w:val="24"/>
          <w:szCs w:val="28"/>
          <w:rtl/>
        </w:rPr>
        <w:tab/>
        <w:t xml:space="preserve"> السيل الجرّار المتدفق على حدائق الأزهار (4/588). </w:t>
      </w:r>
    </w:p>
  </w:footnote>
  <w:footnote w:id="5">
    <w:p w:rsidR="00000000" w:rsidRDefault="00F33B5B">
      <w:pPr>
        <w:pStyle w:val="FootnoteText"/>
        <w:ind w:left="509" w:hanging="509"/>
        <w:jc w:val="lowKashida"/>
        <w:rPr>
          <w:sz w:val="24"/>
          <w:szCs w:val="28"/>
          <w:rtl/>
        </w:rPr>
      </w:pPr>
      <w:r>
        <w:rPr>
          <w:sz w:val="24"/>
          <w:szCs w:val="28"/>
          <w:rtl/>
        </w:rPr>
        <w:t>(</w:t>
      </w:r>
      <w:r>
        <w:rPr>
          <w:rStyle w:val="FootnoteReference"/>
          <w:sz w:val="24"/>
          <w:szCs w:val="28"/>
          <w:vertAlign w:val="baseline"/>
          <w:rtl/>
        </w:rPr>
        <w:footnoteRef/>
      </w:r>
      <w:r>
        <w:rPr>
          <w:sz w:val="24"/>
          <w:szCs w:val="28"/>
          <w:rtl/>
        </w:rPr>
        <w:t>)</w:t>
      </w:r>
      <w:r>
        <w:rPr>
          <w:sz w:val="24"/>
          <w:szCs w:val="28"/>
          <w:rtl/>
        </w:rPr>
        <w:tab/>
        <w:t xml:space="preserve"> لقاء الباب المفتوح (49/192-193). بإختصار، وسيأتي بتمامه –إن شاء الله-.</w:t>
      </w:r>
    </w:p>
  </w:footnote>
  <w:footnote w:id="6">
    <w:p w:rsidR="00000000" w:rsidRDefault="00F33B5B">
      <w:pPr>
        <w:pStyle w:val="FootnoteText"/>
        <w:ind w:left="509" w:hanging="509"/>
        <w:jc w:val="lowKashida"/>
        <w:rPr>
          <w:sz w:val="24"/>
          <w:szCs w:val="28"/>
          <w:rtl/>
        </w:rPr>
      </w:pPr>
      <w:r>
        <w:rPr>
          <w:sz w:val="24"/>
          <w:szCs w:val="28"/>
          <w:rtl/>
        </w:rPr>
        <w:t>(</w:t>
      </w:r>
      <w:r>
        <w:rPr>
          <w:rStyle w:val="FootnoteReference"/>
          <w:sz w:val="24"/>
          <w:szCs w:val="28"/>
          <w:vertAlign w:val="baseline"/>
          <w:rtl/>
        </w:rPr>
        <w:footnoteRef/>
      </w:r>
      <w:r>
        <w:rPr>
          <w:sz w:val="24"/>
          <w:szCs w:val="28"/>
          <w:rtl/>
        </w:rPr>
        <w:t>)</w:t>
      </w:r>
      <w:r>
        <w:rPr>
          <w:sz w:val="24"/>
          <w:szCs w:val="28"/>
          <w:rtl/>
        </w:rPr>
        <w:tab/>
        <w:t xml:space="preserve"> وقد سبق كثير </w:t>
      </w:r>
      <w:r>
        <w:rPr>
          <w:sz w:val="24"/>
          <w:szCs w:val="28"/>
          <w:rtl/>
        </w:rPr>
        <w:t>منها في كلام ابن القيم –رحمه الله-.</w:t>
      </w:r>
    </w:p>
  </w:footnote>
  <w:footnote w:id="7">
    <w:p w:rsidR="00000000" w:rsidRDefault="00F33B5B">
      <w:pPr>
        <w:pStyle w:val="FootnoteText"/>
        <w:ind w:left="509" w:hanging="509"/>
        <w:jc w:val="lowKashida"/>
        <w:rPr>
          <w:sz w:val="24"/>
          <w:szCs w:val="28"/>
          <w:rtl/>
        </w:rPr>
      </w:pPr>
      <w:r>
        <w:rPr>
          <w:sz w:val="24"/>
          <w:szCs w:val="28"/>
          <w:rtl/>
        </w:rPr>
        <w:t>(</w:t>
      </w:r>
      <w:r>
        <w:rPr>
          <w:rStyle w:val="FootnoteReference"/>
          <w:sz w:val="24"/>
          <w:szCs w:val="28"/>
          <w:vertAlign w:val="baseline"/>
          <w:rtl/>
        </w:rPr>
        <w:footnoteRef/>
      </w:r>
      <w:r>
        <w:rPr>
          <w:sz w:val="24"/>
          <w:szCs w:val="28"/>
          <w:rtl/>
        </w:rPr>
        <w:t>)</w:t>
      </w:r>
      <w:r>
        <w:rPr>
          <w:sz w:val="24"/>
          <w:szCs w:val="28"/>
          <w:rtl/>
        </w:rPr>
        <w:tab/>
        <w:t xml:space="preserve"> انظر الأدلة في كتاب "حكم الإنكار في مسائل الخلاف" للدكتور فضل إلهي ظهير، ص 76-79.</w:t>
      </w:r>
    </w:p>
  </w:footnote>
  <w:footnote w:id="8">
    <w:p w:rsidR="00000000" w:rsidRDefault="00F33B5B">
      <w:pPr>
        <w:pStyle w:val="FootnoteText"/>
        <w:ind w:left="509" w:hanging="509"/>
        <w:jc w:val="lowKashida"/>
        <w:rPr>
          <w:sz w:val="24"/>
          <w:szCs w:val="28"/>
          <w:rtl/>
        </w:rPr>
      </w:pPr>
      <w:r>
        <w:rPr>
          <w:sz w:val="24"/>
          <w:szCs w:val="28"/>
          <w:rtl/>
        </w:rPr>
        <w:t>(</w:t>
      </w:r>
      <w:r>
        <w:rPr>
          <w:rStyle w:val="FootnoteReference"/>
          <w:sz w:val="24"/>
          <w:szCs w:val="28"/>
          <w:vertAlign w:val="baseline"/>
          <w:rtl/>
        </w:rPr>
        <w:footnoteRef/>
      </w:r>
      <w:r>
        <w:rPr>
          <w:sz w:val="24"/>
          <w:szCs w:val="28"/>
          <w:rtl/>
        </w:rPr>
        <w:t>)</w:t>
      </w:r>
      <w:r>
        <w:rPr>
          <w:sz w:val="24"/>
          <w:szCs w:val="28"/>
          <w:rtl/>
        </w:rPr>
        <w:tab/>
        <w:t xml:space="preserve"> انظر رسالة: "رفع الملام عن الأئمة الأعلام" لشيخ الإسلام ابن تيمية –رحمه الله-. </w:t>
      </w:r>
    </w:p>
  </w:footnote>
  <w:footnote w:id="9">
    <w:p w:rsidR="00000000" w:rsidRDefault="00F33B5B">
      <w:pPr>
        <w:pStyle w:val="FootnoteText"/>
        <w:ind w:left="509" w:hanging="509"/>
        <w:jc w:val="lowKashida"/>
        <w:rPr>
          <w:sz w:val="24"/>
          <w:szCs w:val="28"/>
          <w:rtl/>
        </w:rPr>
      </w:pPr>
      <w:r>
        <w:rPr>
          <w:sz w:val="24"/>
          <w:szCs w:val="28"/>
          <w:rtl/>
        </w:rPr>
        <w:t>(</w:t>
      </w:r>
      <w:r>
        <w:rPr>
          <w:rStyle w:val="FootnoteReference"/>
          <w:sz w:val="24"/>
          <w:szCs w:val="28"/>
          <w:vertAlign w:val="baseline"/>
          <w:rtl/>
        </w:rPr>
        <w:footnoteRef/>
      </w:r>
      <w:r>
        <w:rPr>
          <w:sz w:val="24"/>
          <w:szCs w:val="28"/>
          <w:rtl/>
        </w:rPr>
        <w:t>)</w:t>
      </w:r>
      <w:r>
        <w:rPr>
          <w:sz w:val="24"/>
          <w:szCs w:val="28"/>
          <w:rtl/>
        </w:rPr>
        <w:tab/>
        <w:t xml:space="preserve"> حكم الإنكار في مسائل الخلاف، ص 81.</w:t>
      </w:r>
    </w:p>
  </w:footnote>
  <w:footnote w:id="10">
    <w:p w:rsidR="00000000" w:rsidRDefault="00F33B5B">
      <w:pPr>
        <w:pStyle w:val="FootnoteText"/>
        <w:ind w:left="509" w:hanging="509"/>
        <w:jc w:val="lowKashida"/>
        <w:rPr>
          <w:sz w:val="24"/>
          <w:szCs w:val="28"/>
          <w:rtl/>
        </w:rPr>
      </w:pPr>
      <w:r>
        <w:rPr>
          <w:sz w:val="24"/>
          <w:szCs w:val="28"/>
          <w:rtl/>
        </w:rPr>
        <w:t>(</w:t>
      </w:r>
      <w:r>
        <w:rPr>
          <w:rStyle w:val="FootnoteReference"/>
          <w:sz w:val="24"/>
          <w:szCs w:val="28"/>
          <w:vertAlign w:val="baseline"/>
          <w:rtl/>
        </w:rPr>
        <w:footnoteRef/>
      </w:r>
      <w:r>
        <w:rPr>
          <w:sz w:val="24"/>
          <w:szCs w:val="28"/>
          <w:rtl/>
        </w:rPr>
        <w:t>)</w:t>
      </w:r>
      <w:r>
        <w:rPr>
          <w:sz w:val="24"/>
          <w:szCs w:val="28"/>
          <w:rtl/>
        </w:rPr>
        <w:tab/>
        <w:t xml:space="preserve"> الس</w:t>
      </w:r>
      <w:r>
        <w:rPr>
          <w:sz w:val="24"/>
          <w:szCs w:val="28"/>
          <w:rtl/>
        </w:rPr>
        <w:t>ابق، ص 84.</w:t>
      </w:r>
    </w:p>
  </w:footnote>
  <w:footnote w:id="11">
    <w:p w:rsidR="00000000" w:rsidRDefault="00F33B5B">
      <w:pPr>
        <w:pStyle w:val="FootnoteText"/>
        <w:ind w:left="509" w:hanging="509"/>
        <w:jc w:val="lowKashida"/>
        <w:rPr>
          <w:sz w:val="24"/>
          <w:szCs w:val="28"/>
          <w:rtl/>
        </w:rPr>
      </w:pPr>
      <w:r>
        <w:rPr>
          <w:sz w:val="24"/>
          <w:szCs w:val="28"/>
          <w:rtl/>
        </w:rPr>
        <w:t>(</w:t>
      </w:r>
      <w:r>
        <w:rPr>
          <w:rStyle w:val="FootnoteReference"/>
          <w:sz w:val="24"/>
          <w:szCs w:val="28"/>
          <w:vertAlign w:val="baseline"/>
          <w:rtl/>
        </w:rPr>
        <w:footnoteRef/>
      </w:r>
      <w:r>
        <w:rPr>
          <w:sz w:val="24"/>
          <w:szCs w:val="28"/>
          <w:rtl/>
        </w:rPr>
        <w:t>)</w:t>
      </w:r>
      <w:r>
        <w:rPr>
          <w:sz w:val="24"/>
          <w:szCs w:val="28"/>
          <w:rtl/>
        </w:rPr>
        <w:tab/>
        <w:t xml:space="preserve"> السابق، ص 86.</w:t>
      </w:r>
    </w:p>
  </w:footnote>
  <w:footnote w:id="12">
    <w:p w:rsidR="00000000" w:rsidRDefault="00F33B5B">
      <w:pPr>
        <w:pStyle w:val="FootnoteText"/>
        <w:ind w:left="509" w:hanging="509"/>
        <w:jc w:val="lowKashida"/>
        <w:rPr>
          <w:sz w:val="24"/>
          <w:szCs w:val="28"/>
          <w:rtl/>
        </w:rPr>
      </w:pPr>
      <w:r>
        <w:rPr>
          <w:sz w:val="24"/>
          <w:szCs w:val="28"/>
          <w:rtl/>
        </w:rPr>
        <w:t>(</w:t>
      </w:r>
      <w:r>
        <w:rPr>
          <w:rStyle w:val="FootnoteReference"/>
          <w:sz w:val="24"/>
          <w:szCs w:val="28"/>
          <w:vertAlign w:val="baseline"/>
          <w:rtl/>
        </w:rPr>
        <w:footnoteRef/>
      </w:r>
      <w:r>
        <w:rPr>
          <w:sz w:val="24"/>
          <w:szCs w:val="28"/>
          <w:rtl/>
        </w:rPr>
        <w:t>)</w:t>
      </w:r>
      <w:r>
        <w:rPr>
          <w:sz w:val="24"/>
          <w:szCs w:val="28"/>
          <w:rtl/>
        </w:rPr>
        <w:tab/>
        <w:t xml:space="preserve"> السابق، ص 89.</w:t>
      </w:r>
    </w:p>
  </w:footnote>
  <w:footnote w:id="13">
    <w:p w:rsidR="00000000" w:rsidRDefault="00F33B5B">
      <w:pPr>
        <w:pStyle w:val="FootnoteText"/>
        <w:ind w:left="509" w:hanging="509"/>
        <w:jc w:val="lowKashida"/>
        <w:rPr>
          <w:sz w:val="24"/>
          <w:szCs w:val="28"/>
          <w:rtl/>
        </w:rPr>
      </w:pPr>
      <w:r>
        <w:rPr>
          <w:sz w:val="24"/>
          <w:szCs w:val="28"/>
          <w:rtl/>
        </w:rPr>
        <w:t>(</w:t>
      </w:r>
      <w:r>
        <w:rPr>
          <w:rStyle w:val="FootnoteReference"/>
          <w:sz w:val="24"/>
          <w:szCs w:val="28"/>
          <w:vertAlign w:val="baseline"/>
          <w:rtl/>
        </w:rPr>
        <w:footnoteRef/>
      </w:r>
      <w:r>
        <w:rPr>
          <w:sz w:val="24"/>
          <w:szCs w:val="28"/>
          <w:rtl/>
        </w:rPr>
        <w:t>)</w:t>
      </w:r>
      <w:r>
        <w:rPr>
          <w:sz w:val="24"/>
          <w:szCs w:val="28"/>
          <w:rtl/>
        </w:rPr>
        <w:tab/>
        <w:t xml:space="preserve"> انظر أدلة هذا القول في رسالة: "عودة الحجاب" للشيخ محمد بن إسماعيل –وفقه الله-. </w:t>
      </w:r>
    </w:p>
  </w:footnote>
  <w:footnote w:id="14">
    <w:p w:rsidR="00000000" w:rsidRDefault="00F33B5B">
      <w:pPr>
        <w:pStyle w:val="FootnoteText"/>
        <w:ind w:left="509" w:hanging="509"/>
        <w:jc w:val="lowKashida"/>
      </w:pPr>
      <w:r>
        <w:rPr>
          <w:sz w:val="24"/>
          <w:szCs w:val="28"/>
          <w:rtl/>
        </w:rPr>
        <w:t>(</w:t>
      </w:r>
      <w:r>
        <w:rPr>
          <w:rStyle w:val="FootnoteReference"/>
          <w:sz w:val="24"/>
          <w:szCs w:val="28"/>
          <w:vertAlign w:val="baseline"/>
          <w:rtl/>
        </w:rPr>
        <w:footnoteRef/>
      </w:r>
      <w:r>
        <w:rPr>
          <w:sz w:val="24"/>
          <w:szCs w:val="28"/>
          <w:rtl/>
        </w:rPr>
        <w:t>)</w:t>
      </w:r>
      <w:r>
        <w:rPr>
          <w:sz w:val="24"/>
          <w:szCs w:val="28"/>
          <w:rtl/>
        </w:rPr>
        <w:tab/>
        <w:t xml:space="preserve">  فتح الباري (9/235-236). </w:t>
      </w:r>
    </w:p>
  </w:footnote>
  <w:footnote w:id="15">
    <w:p w:rsidR="00000000" w:rsidRDefault="00F33B5B">
      <w:pPr>
        <w:pStyle w:val="FootnoteText"/>
        <w:ind w:left="509" w:hanging="509"/>
        <w:jc w:val="lowKashida"/>
      </w:pPr>
      <w:r>
        <w:rPr>
          <w:sz w:val="24"/>
          <w:szCs w:val="28"/>
          <w:rtl/>
        </w:rPr>
        <w:t>(</w:t>
      </w:r>
      <w:r>
        <w:rPr>
          <w:rStyle w:val="FootnoteReference"/>
          <w:sz w:val="24"/>
          <w:szCs w:val="28"/>
          <w:vertAlign w:val="baseline"/>
          <w:rtl/>
        </w:rPr>
        <w:footnoteRef/>
      </w:r>
      <w:r>
        <w:rPr>
          <w:sz w:val="24"/>
          <w:szCs w:val="28"/>
          <w:rtl/>
        </w:rPr>
        <w:t>)</w:t>
      </w:r>
      <w:r>
        <w:rPr>
          <w:sz w:val="24"/>
          <w:szCs w:val="28"/>
          <w:rtl/>
        </w:rPr>
        <w:tab/>
        <w:t xml:space="preserve">  نيل الأوطار للشوكاني (6/114). </w:t>
      </w:r>
    </w:p>
  </w:footnote>
  <w:footnote w:id="16">
    <w:p w:rsidR="00000000" w:rsidRDefault="00F33B5B">
      <w:pPr>
        <w:pStyle w:val="FootnoteText"/>
        <w:ind w:left="509" w:hanging="509"/>
        <w:jc w:val="lowKashida"/>
        <w:rPr>
          <w:sz w:val="24"/>
          <w:szCs w:val="28"/>
          <w:rtl/>
        </w:rPr>
      </w:pPr>
      <w:r>
        <w:rPr>
          <w:sz w:val="24"/>
          <w:szCs w:val="28"/>
          <w:rtl/>
        </w:rPr>
        <w:t>(</w:t>
      </w:r>
      <w:r>
        <w:rPr>
          <w:rStyle w:val="FootnoteReference"/>
          <w:sz w:val="24"/>
          <w:szCs w:val="28"/>
          <w:vertAlign w:val="baseline"/>
          <w:rtl/>
        </w:rPr>
        <w:footnoteRef/>
      </w:r>
      <w:r>
        <w:rPr>
          <w:sz w:val="24"/>
          <w:szCs w:val="28"/>
          <w:rtl/>
        </w:rPr>
        <w:t>)</w:t>
      </w:r>
      <w:r>
        <w:rPr>
          <w:sz w:val="24"/>
          <w:szCs w:val="28"/>
          <w:rtl/>
        </w:rPr>
        <w:tab/>
        <w:t xml:space="preserve"> لقاء الباب المفتوح (33-34/66-68). </w:t>
      </w:r>
    </w:p>
  </w:footnote>
  <w:footnote w:id="17">
    <w:p w:rsidR="00000000" w:rsidRDefault="00F33B5B">
      <w:pPr>
        <w:pStyle w:val="FootnoteText"/>
        <w:ind w:left="509" w:hanging="509"/>
        <w:jc w:val="lowKashida"/>
        <w:rPr>
          <w:sz w:val="24"/>
          <w:szCs w:val="28"/>
          <w:rtl/>
        </w:rPr>
      </w:pPr>
      <w:r>
        <w:rPr>
          <w:sz w:val="24"/>
          <w:szCs w:val="28"/>
          <w:rtl/>
        </w:rPr>
        <w:t>(</w:t>
      </w:r>
      <w:r>
        <w:rPr>
          <w:rStyle w:val="FootnoteReference"/>
          <w:sz w:val="24"/>
          <w:szCs w:val="28"/>
          <w:vertAlign w:val="baseline"/>
          <w:rtl/>
        </w:rPr>
        <w:footnoteRef/>
      </w:r>
      <w:r>
        <w:rPr>
          <w:sz w:val="24"/>
          <w:szCs w:val="28"/>
          <w:rtl/>
        </w:rPr>
        <w:t>)</w:t>
      </w:r>
      <w:r>
        <w:rPr>
          <w:sz w:val="24"/>
          <w:szCs w:val="28"/>
          <w:rtl/>
        </w:rPr>
        <w:tab/>
        <w:t xml:space="preserve"> لقاء البا</w:t>
      </w:r>
      <w:r>
        <w:rPr>
          <w:sz w:val="24"/>
          <w:szCs w:val="28"/>
          <w:rtl/>
        </w:rPr>
        <w:t xml:space="preserve">ب المفتوح (49/192-193).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D10A6"/>
    <w:multiLevelType w:val="singleLevel"/>
    <w:tmpl w:val="C590D95A"/>
    <w:lvl w:ilvl="0">
      <w:start w:val="1"/>
      <w:numFmt w:val="decimal"/>
      <w:lvlText w:val="%1-"/>
      <w:lvlJc w:val="left"/>
      <w:pPr>
        <w:tabs>
          <w:tab w:val="num" w:pos="1440"/>
        </w:tabs>
        <w:ind w:left="1440" w:hanging="720"/>
      </w:pPr>
      <w:rPr>
        <w:rFonts w:hint="default"/>
        <w:sz w:val="4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TrackMoves/>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71CB"/>
    <w:rsid w:val="00E771CB"/>
    <w:rsid w:val="00F33B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695B9554-B686-43CD-9B16-0A0E6EF4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raditional Arabic"/>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rPr>
      <w:sz w:val="28"/>
      <w:szCs w:val="4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firstLine="720"/>
      <w:jc w:val="lowKashida"/>
    </w:pPr>
  </w:style>
  <w:style w:type="paragraph" w:styleId="FootnoteText">
    <w:name w:val="footnote text"/>
    <w:basedOn w:val="Normal"/>
    <w:semiHidden/>
    <w:rPr>
      <w:sz w:val="20"/>
      <w:szCs w:val="24"/>
    </w:rPr>
  </w:style>
  <w:style w:type="character" w:styleId="FootnoteReference">
    <w:name w:val="footnote reference"/>
    <w:semiHidden/>
    <w:rPr>
      <w:vertAlign w:val="superscript"/>
    </w:rPr>
  </w:style>
  <w:style w:type="paragraph" w:styleId="Footer">
    <w:name w:val="footer"/>
    <w:basedOn w:val="Normal"/>
    <w:semiHidden/>
    <w:pPr>
      <w:tabs>
        <w:tab w:val="center" w:pos="4153"/>
        <w:tab w:val="right" w:pos="8306"/>
      </w:tabs>
    </w:pPr>
    <w:rPr>
      <w:szCs w:val="33"/>
    </w:r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rPr>
      <w:szCs w:val="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1794</Words>
  <Characters>10229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هارون الرشيد</dc:creator>
  <cp:keywords/>
  <cp:lastModifiedBy>IBEID ABDULLAH MOHAMMED</cp:lastModifiedBy>
  <cp:revision>2</cp:revision>
  <cp:lastPrinted>2003-05-03T11:47:00Z</cp:lastPrinted>
  <dcterms:created xsi:type="dcterms:W3CDTF">2017-12-24T17:49:00Z</dcterms:created>
  <dcterms:modified xsi:type="dcterms:W3CDTF">2017-12-24T17:49:00Z</dcterms:modified>
</cp:coreProperties>
</file>